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B72A" w14:textId="41630BA2" w:rsidR="00C80598" w:rsidRDefault="00EA2224" w:rsidP="0040708C">
      <w:pPr>
        <w:tabs>
          <w:tab w:val="left" w:pos="3405"/>
        </w:tabs>
        <w:spacing w:after="14" w:line="259" w:lineRule="auto"/>
        <w:ind w:left="0" w:right="0" w:firstLine="0"/>
        <w:jc w:val="left"/>
      </w:pPr>
      <w:r>
        <w:t xml:space="preserve"> </w:t>
      </w:r>
      <w:r w:rsidR="0040708C">
        <w:tab/>
      </w:r>
    </w:p>
    <w:p w14:paraId="7A72B7D9" w14:textId="77777777" w:rsidR="00C80598" w:rsidRDefault="00EA2224">
      <w:pPr>
        <w:spacing w:after="0" w:line="259" w:lineRule="auto"/>
        <w:ind w:left="60" w:right="0" w:firstLine="0"/>
        <w:jc w:val="center"/>
      </w:pPr>
      <w:r>
        <w:t xml:space="preserve"> </w:t>
      </w:r>
    </w:p>
    <w:p w14:paraId="1E03E7C3" w14:textId="77777777" w:rsidR="00C80598" w:rsidRDefault="00EA2224">
      <w:pPr>
        <w:spacing w:after="0" w:line="259" w:lineRule="auto"/>
        <w:ind w:left="60" w:right="0" w:firstLine="0"/>
        <w:jc w:val="center"/>
      </w:pPr>
      <w:r>
        <w:t xml:space="preserve"> </w:t>
      </w:r>
    </w:p>
    <w:p w14:paraId="16DC30F7" w14:textId="77777777" w:rsidR="0040708C" w:rsidRPr="00C61E26" w:rsidRDefault="0040708C" w:rsidP="0040708C">
      <w:pPr>
        <w:spacing w:after="0" w:line="259" w:lineRule="auto"/>
        <w:ind w:left="142" w:firstLine="0"/>
        <w:jc w:val="center"/>
        <w:rPr>
          <w:sz w:val="36"/>
          <w:szCs w:val="36"/>
        </w:rPr>
      </w:pPr>
      <w:r w:rsidRPr="00C61E26">
        <w:rPr>
          <w:b/>
          <w:sz w:val="36"/>
          <w:szCs w:val="36"/>
        </w:rPr>
        <w:t>TECHNOLOGICKÉ CENTRUM Hradec Králové z.ú.</w:t>
      </w:r>
    </w:p>
    <w:p w14:paraId="7D9B143C" w14:textId="77777777" w:rsidR="00C80598" w:rsidRDefault="00EA2224">
      <w:pPr>
        <w:spacing w:after="0" w:line="259" w:lineRule="auto"/>
        <w:ind w:left="60" w:right="0" w:firstLine="0"/>
        <w:jc w:val="center"/>
      </w:pPr>
      <w:r>
        <w:t xml:space="preserve"> </w:t>
      </w:r>
    </w:p>
    <w:p w14:paraId="41642BF8" w14:textId="77777777" w:rsidR="00C80598" w:rsidRDefault="00EA2224">
      <w:pPr>
        <w:spacing w:after="0" w:line="259" w:lineRule="auto"/>
        <w:ind w:left="60" w:right="0" w:firstLine="0"/>
        <w:jc w:val="center"/>
      </w:pPr>
      <w:r>
        <w:t xml:space="preserve"> </w:t>
      </w:r>
    </w:p>
    <w:p w14:paraId="3AF7B1C5" w14:textId="77777777" w:rsidR="00C80598" w:rsidRDefault="00EA2224">
      <w:pPr>
        <w:spacing w:after="0" w:line="259" w:lineRule="auto"/>
        <w:ind w:left="60" w:right="0" w:firstLine="0"/>
        <w:jc w:val="center"/>
      </w:pPr>
      <w:r>
        <w:t xml:space="preserve"> </w:t>
      </w:r>
    </w:p>
    <w:p w14:paraId="4B6BA2E4" w14:textId="77777777" w:rsidR="00C80598" w:rsidRDefault="00EA2224">
      <w:pPr>
        <w:spacing w:after="0"/>
        <w:ind w:left="746" w:right="737" w:hanging="10"/>
        <w:jc w:val="center"/>
      </w:pPr>
      <w:r>
        <w:t xml:space="preserve">vyhlašuje </w:t>
      </w:r>
    </w:p>
    <w:p w14:paraId="7B54D3E0" w14:textId="77777777" w:rsidR="00C80598" w:rsidRPr="00845EA4" w:rsidRDefault="00EA2224">
      <w:pPr>
        <w:spacing w:after="0" w:line="259" w:lineRule="auto"/>
        <w:ind w:left="60" w:right="0" w:firstLine="0"/>
        <w:jc w:val="center"/>
        <w:rPr>
          <w:sz w:val="24"/>
          <w:szCs w:val="24"/>
        </w:rPr>
      </w:pPr>
      <w:r w:rsidRPr="00845EA4">
        <w:rPr>
          <w:sz w:val="24"/>
          <w:szCs w:val="24"/>
        </w:rPr>
        <w:t xml:space="preserve"> </w:t>
      </w:r>
    </w:p>
    <w:p w14:paraId="00512A6C" w14:textId="77777777" w:rsidR="00C80598" w:rsidRPr="00845EA4" w:rsidRDefault="00EA2224">
      <w:pPr>
        <w:spacing w:after="0" w:line="259" w:lineRule="auto"/>
        <w:ind w:left="10" w:hanging="10"/>
        <w:jc w:val="center"/>
        <w:rPr>
          <w:sz w:val="24"/>
          <w:szCs w:val="24"/>
        </w:rPr>
      </w:pPr>
      <w:r w:rsidRPr="00845EA4">
        <w:rPr>
          <w:b/>
          <w:sz w:val="24"/>
          <w:szCs w:val="24"/>
        </w:rPr>
        <w:t xml:space="preserve">Výzvu k předkládání žádostí do programu </w:t>
      </w:r>
    </w:p>
    <w:p w14:paraId="7915B3A7" w14:textId="77777777" w:rsidR="0040708C" w:rsidRDefault="0040708C" w:rsidP="0040708C">
      <w:pPr>
        <w:spacing w:after="0" w:line="259" w:lineRule="auto"/>
        <w:ind w:left="142" w:firstLine="0"/>
        <w:jc w:val="center"/>
        <w:rPr>
          <w:b/>
          <w:color w:val="C00000"/>
          <w:sz w:val="32"/>
          <w:szCs w:val="32"/>
        </w:rPr>
      </w:pPr>
    </w:p>
    <w:p w14:paraId="4D9AEC8F" w14:textId="7A9B1881" w:rsidR="0040708C" w:rsidRPr="00845EA4" w:rsidRDefault="00845EA4" w:rsidP="0040708C">
      <w:pPr>
        <w:spacing w:after="0" w:line="259" w:lineRule="auto"/>
        <w:ind w:left="142" w:firstLine="0"/>
        <w:jc w:val="center"/>
        <w:rPr>
          <w:color w:val="auto"/>
          <w:sz w:val="24"/>
          <w:szCs w:val="24"/>
        </w:rPr>
      </w:pPr>
      <w:r w:rsidRPr="00845EA4">
        <w:rPr>
          <w:b/>
          <w:color w:val="auto"/>
          <w:sz w:val="24"/>
          <w:szCs w:val="24"/>
        </w:rPr>
        <w:t>Operační program P</w:t>
      </w:r>
      <w:r w:rsidR="0040708C" w:rsidRPr="00845EA4">
        <w:rPr>
          <w:b/>
          <w:color w:val="auto"/>
          <w:sz w:val="24"/>
          <w:szCs w:val="24"/>
        </w:rPr>
        <w:t>odnikání a inovace pro konkurenceschopnost</w:t>
      </w:r>
    </w:p>
    <w:p w14:paraId="27F17D60" w14:textId="44D5F022" w:rsidR="0040708C" w:rsidRPr="00845EA4" w:rsidRDefault="0040708C" w:rsidP="00845EA4">
      <w:pPr>
        <w:spacing w:after="158" w:line="259" w:lineRule="auto"/>
        <w:ind w:left="0" w:firstLine="0"/>
        <w:jc w:val="center"/>
        <w:rPr>
          <w:color w:val="auto"/>
          <w:sz w:val="24"/>
          <w:szCs w:val="24"/>
        </w:rPr>
      </w:pPr>
      <w:r w:rsidRPr="00845EA4">
        <w:rPr>
          <w:b/>
          <w:bCs/>
          <w:noProof/>
          <w:color w:val="auto"/>
          <w:sz w:val="24"/>
          <w:szCs w:val="24"/>
        </w:rPr>
        <w:t>SLUŽBY INFRASTRUKTURY</w:t>
      </w:r>
    </w:p>
    <w:p w14:paraId="18283507" w14:textId="7C78B619" w:rsidR="00210116" w:rsidRPr="00210116" w:rsidRDefault="00845EA4" w:rsidP="0040708C">
      <w:pPr>
        <w:spacing w:after="151" w:line="259" w:lineRule="auto"/>
        <w:ind w:left="0" w:firstLine="0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t>,,</w:t>
      </w:r>
      <w:r w:rsidR="00210116">
        <w:rPr>
          <w:b/>
          <w:bCs/>
          <w:noProof/>
          <w:color w:val="C00000"/>
          <w:sz w:val="32"/>
          <w:szCs w:val="32"/>
        </w:rPr>
        <w:t>Poskytování expertních služeb pro MSP</w:t>
      </w:r>
      <w:r>
        <w:rPr>
          <w:b/>
          <w:bCs/>
          <w:noProof/>
          <w:color w:val="C00000"/>
          <w:sz w:val="32"/>
          <w:szCs w:val="32"/>
        </w:rPr>
        <w:t>“</w:t>
      </w:r>
    </w:p>
    <w:p w14:paraId="70E8925C" w14:textId="77777777" w:rsidR="00C80598" w:rsidRDefault="00EA2224">
      <w:pPr>
        <w:spacing w:after="215" w:line="259" w:lineRule="auto"/>
        <w:ind w:left="0" w:right="0" w:firstLine="0"/>
        <w:jc w:val="left"/>
      </w:pPr>
      <w:r>
        <w:t xml:space="preserve"> </w:t>
      </w:r>
    </w:p>
    <w:p w14:paraId="2543BA73" w14:textId="77777777" w:rsidR="00C80598" w:rsidRDefault="00EA2224">
      <w:pPr>
        <w:spacing w:after="215" w:line="259" w:lineRule="auto"/>
        <w:ind w:left="0" w:right="0" w:firstLine="0"/>
        <w:jc w:val="left"/>
      </w:pPr>
      <w:r>
        <w:t xml:space="preserve"> </w:t>
      </w:r>
    </w:p>
    <w:p w14:paraId="32549E54" w14:textId="77777777" w:rsidR="00C80598" w:rsidRDefault="00EA2224">
      <w:pPr>
        <w:spacing w:after="205"/>
        <w:ind w:left="746" w:right="673" w:hanging="10"/>
        <w:jc w:val="center"/>
      </w:pPr>
      <w:r>
        <w:t xml:space="preserve">Program je financován z OPERAČNÍHO PROGRAMU PODNIKÁNÍ A INOVACE PRO KONKURENCESCHOPNOST, Služby infrastruktury </w:t>
      </w:r>
    </w:p>
    <w:p w14:paraId="734ABA1B" w14:textId="77777777" w:rsidR="00C80598" w:rsidRDefault="00EA2224">
      <w:pPr>
        <w:spacing w:after="215" w:line="259" w:lineRule="auto"/>
        <w:ind w:left="60" w:right="0" w:firstLine="0"/>
        <w:jc w:val="center"/>
      </w:pPr>
      <w:r>
        <w:t xml:space="preserve"> </w:t>
      </w:r>
    </w:p>
    <w:p w14:paraId="14D2837D" w14:textId="77777777" w:rsidR="00C80598" w:rsidRDefault="00EA2224">
      <w:pPr>
        <w:spacing w:after="220" w:line="259" w:lineRule="auto"/>
        <w:ind w:left="60" w:right="0" w:firstLine="0"/>
        <w:jc w:val="center"/>
      </w:pPr>
      <w:r>
        <w:t xml:space="preserve"> </w:t>
      </w:r>
    </w:p>
    <w:p w14:paraId="6B0B189E" w14:textId="77777777" w:rsidR="00C80598" w:rsidRDefault="00EA2224">
      <w:pPr>
        <w:spacing w:after="215" w:line="259" w:lineRule="auto"/>
        <w:ind w:left="60" w:right="0" w:firstLine="0"/>
        <w:jc w:val="center"/>
      </w:pPr>
      <w:r>
        <w:t xml:space="preserve"> </w:t>
      </w:r>
    </w:p>
    <w:p w14:paraId="23BC46CF" w14:textId="77777777" w:rsidR="00C80598" w:rsidRDefault="00EA2224">
      <w:pPr>
        <w:spacing w:after="209" w:line="259" w:lineRule="auto"/>
        <w:ind w:left="60" w:right="0" w:firstLine="0"/>
        <w:jc w:val="center"/>
      </w:pPr>
      <w:r>
        <w:t xml:space="preserve"> </w:t>
      </w:r>
    </w:p>
    <w:p w14:paraId="08F52BC6" w14:textId="77777777" w:rsidR="00C80598" w:rsidRDefault="00EA2224">
      <w:pPr>
        <w:spacing w:after="167" w:line="259" w:lineRule="auto"/>
        <w:ind w:left="0" w:right="87" w:firstLine="0"/>
        <w:jc w:val="right"/>
      </w:pPr>
      <w:r>
        <w:rPr>
          <w:noProof/>
        </w:rPr>
        <w:drawing>
          <wp:inline distT="0" distB="0" distL="0" distR="0" wp14:anchorId="3006E718" wp14:editId="13DC47AF">
            <wp:extent cx="6004560" cy="1876425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09D03BA" w14:textId="77777777" w:rsidR="00C80598" w:rsidRDefault="00EA222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39E1B207" w14:textId="5DF81641" w:rsidR="00C80598" w:rsidRDefault="00C80598">
      <w:pPr>
        <w:spacing w:after="0" w:line="259" w:lineRule="auto"/>
        <w:ind w:left="20" w:right="0" w:firstLine="0"/>
        <w:jc w:val="left"/>
      </w:pPr>
    </w:p>
    <w:p w14:paraId="117AA065" w14:textId="286801EF" w:rsidR="0040708C" w:rsidRDefault="0040708C">
      <w:pPr>
        <w:spacing w:after="0" w:line="259" w:lineRule="auto"/>
        <w:ind w:left="20" w:right="0" w:firstLine="0"/>
        <w:jc w:val="left"/>
      </w:pPr>
    </w:p>
    <w:p w14:paraId="391EECFD" w14:textId="77777777" w:rsidR="0040708C" w:rsidRDefault="0040708C">
      <w:pPr>
        <w:spacing w:after="0" w:line="259" w:lineRule="auto"/>
        <w:ind w:left="20" w:right="0" w:firstLine="0"/>
        <w:jc w:val="left"/>
      </w:pPr>
    </w:p>
    <w:p w14:paraId="227794CE" w14:textId="77777777" w:rsidR="00C80598" w:rsidRDefault="00EA2224">
      <w:pPr>
        <w:spacing w:line="259" w:lineRule="auto"/>
        <w:ind w:left="-1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4B6AE63" wp14:editId="6F4CCD13">
                <wp:extent cx="6190489" cy="6096"/>
                <wp:effectExtent l="0" t="0" r="0" b="0"/>
                <wp:docPr id="10184" name="Group 10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489" cy="6096"/>
                          <a:chOff x="0" y="0"/>
                          <a:chExt cx="6190489" cy="6096"/>
                        </a:xfrm>
                      </wpg:grpSpPr>
                      <wps:wsp>
                        <wps:cNvPr id="13150" name="Shape 13150"/>
                        <wps:cNvSpPr/>
                        <wps:spPr>
                          <a:xfrm>
                            <a:off x="0" y="0"/>
                            <a:ext cx="6190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9" h="9144">
                                <a:moveTo>
                                  <a:pt x="0" y="0"/>
                                </a:moveTo>
                                <a:lnTo>
                                  <a:pt x="6190489" y="0"/>
                                </a:lnTo>
                                <a:lnTo>
                                  <a:pt x="6190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84" style="width:487.44pt;height:0.47998pt;mso-position-horizontal-relative:char;mso-position-vertical-relative:line" coordsize="61904,60">
                <v:shape id="Shape 13151" style="position:absolute;width:61904;height:91;left:0;top:0;" coordsize="6190489,9144" path="m0,0l6190489,0l61904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9469A4" w14:textId="77777777" w:rsidR="00C80598" w:rsidRDefault="00EA2224">
      <w:pPr>
        <w:spacing w:after="0" w:line="259" w:lineRule="auto"/>
        <w:ind w:left="20" w:right="0" w:firstLine="0"/>
        <w:jc w:val="left"/>
      </w:pPr>
      <w:r>
        <w:t xml:space="preserve"> </w:t>
      </w:r>
    </w:p>
    <w:tbl>
      <w:tblPr>
        <w:tblStyle w:val="Mkatabulky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729"/>
        <w:gridCol w:w="6979"/>
      </w:tblGrid>
      <w:tr w:rsidR="00C80598" w14:paraId="48420336" w14:textId="77777777" w:rsidTr="00484A77">
        <w:trPr>
          <w:trHeight w:val="596"/>
        </w:trPr>
        <w:tc>
          <w:tcPr>
            <w:tcW w:w="2832" w:type="dxa"/>
            <w:gridSpan w:val="2"/>
          </w:tcPr>
          <w:p w14:paraId="38A5AB5E" w14:textId="77777777" w:rsidR="00C80598" w:rsidRDefault="00EA2224">
            <w:pPr>
              <w:spacing w:after="43" w:line="259" w:lineRule="auto"/>
              <w:ind w:left="20" w:right="0" w:firstLine="0"/>
              <w:jc w:val="left"/>
            </w:pPr>
            <w:r>
              <w:lastRenderedPageBreak/>
              <w:t xml:space="preserve">Vyhlášení programu:  </w:t>
            </w:r>
          </w:p>
          <w:p w14:paraId="46AC197A" w14:textId="77777777" w:rsidR="00C80598" w:rsidRDefault="00EA2224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6979" w:type="dxa"/>
          </w:tcPr>
          <w:p w14:paraId="535A3F7A" w14:textId="2AED7790" w:rsidR="00C80598" w:rsidRDefault="00BC3F0F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  <w:r w:rsidR="0037129E">
              <w:t>.2</w:t>
            </w:r>
            <w:r w:rsidR="00EA2224">
              <w:t>.202</w:t>
            </w:r>
            <w:r w:rsidR="0037129E">
              <w:t>2</w:t>
            </w:r>
            <w:r w:rsidR="00EA2224">
              <w:t xml:space="preserve"> </w:t>
            </w:r>
          </w:p>
        </w:tc>
      </w:tr>
      <w:tr w:rsidR="00C80598" w14:paraId="13982494" w14:textId="77777777" w:rsidTr="00484A77">
        <w:trPr>
          <w:trHeight w:val="624"/>
        </w:trPr>
        <w:tc>
          <w:tcPr>
            <w:tcW w:w="2832" w:type="dxa"/>
            <w:gridSpan w:val="2"/>
          </w:tcPr>
          <w:p w14:paraId="27820AEE" w14:textId="77777777" w:rsidR="00C80598" w:rsidRDefault="00EA2224">
            <w:pPr>
              <w:tabs>
                <w:tab w:val="center" w:pos="1416"/>
                <w:tab w:val="center" w:pos="2124"/>
              </w:tabs>
              <w:spacing w:after="45" w:line="259" w:lineRule="auto"/>
              <w:ind w:left="0" w:right="0" w:firstLine="0"/>
              <w:jc w:val="left"/>
            </w:pPr>
            <w:r>
              <w:t xml:space="preserve">Druh výzvy: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2EA1DE8" w14:textId="77777777" w:rsidR="00C80598" w:rsidRDefault="00EA2224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6979" w:type="dxa"/>
          </w:tcPr>
          <w:p w14:paraId="2A8A3821" w14:textId="159CF324" w:rsidR="00C80598" w:rsidRDefault="00C926AC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>průběžná</w:t>
            </w:r>
            <w:r w:rsidR="00EA2224">
              <w:tab/>
              <w:t xml:space="preserve"> </w:t>
            </w:r>
          </w:p>
        </w:tc>
      </w:tr>
      <w:tr w:rsidR="00C80598" w14:paraId="2CDAB0C5" w14:textId="77777777" w:rsidTr="00484A77">
        <w:trPr>
          <w:trHeight w:val="397"/>
        </w:trPr>
        <w:tc>
          <w:tcPr>
            <w:tcW w:w="2832" w:type="dxa"/>
            <w:gridSpan w:val="2"/>
          </w:tcPr>
          <w:p w14:paraId="4EC00C65" w14:textId="27FF430E" w:rsidR="00C80598" w:rsidRDefault="00EA2224">
            <w:pPr>
              <w:spacing w:after="0" w:line="259" w:lineRule="auto"/>
              <w:ind w:left="0" w:right="0" w:firstLine="0"/>
              <w:jc w:val="left"/>
            </w:pPr>
            <w:r>
              <w:t>Podporované aktivity:</w:t>
            </w:r>
          </w:p>
        </w:tc>
        <w:tc>
          <w:tcPr>
            <w:tcW w:w="6979" w:type="dxa"/>
          </w:tcPr>
          <w:p w14:paraId="38A8553C" w14:textId="77777777" w:rsidR="00C80598" w:rsidRDefault="00EA22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7129E" w14:paraId="35164B07" w14:textId="77777777" w:rsidTr="00484A77">
        <w:trPr>
          <w:trHeight w:val="567"/>
        </w:trPr>
        <w:tc>
          <w:tcPr>
            <w:tcW w:w="2103" w:type="dxa"/>
          </w:tcPr>
          <w:p w14:paraId="5CBC4477" w14:textId="77777777" w:rsidR="0037129E" w:rsidRDefault="0037129E" w:rsidP="0037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9" w:type="dxa"/>
          </w:tcPr>
          <w:p w14:paraId="3D9B6D56" w14:textId="77777777" w:rsidR="0037129E" w:rsidRDefault="0037129E" w:rsidP="0037129E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979" w:type="dxa"/>
          </w:tcPr>
          <w:p w14:paraId="0EBE497F" w14:textId="5B93E657" w:rsidR="0037129E" w:rsidRDefault="0037129E" w:rsidP="0037129E">
            <w:pPr>
              <w:spacing w:after="0" w:line="259" w:lineRule="auto"/>
              <w:ind w:left="12" w:right="0" w:firstLine="0"/>
              <w:jc w:val="left"/>
            </w:pPr>
            <w:r w:rsidRPr="004576EE">
              <w:rPr>
                <w:rFonts w:cstheme="minorHAnsi"/>
                <w:sz w:val="20"/>
                <w:szCs w:val="20"/>
              </w:rPr>
              <w:t xml:space="preserve">Strategické řízení a management inovací </w:t>
            </w:r>
          </w:p>
        </w:tc>
      </w:tr>
      <w:tr w:rsidR="0037129E" w14:paraId="1EF32A2B" w14:textId="77777777" w:rsidTr="00484A77">
        <w:trPr>
          <w:trHeight w:val="567"/>
        </w:trPr>
        <w:tc>
          <w:tcPr>
            <w:tcW w:w="2103" w:type="dxa"/>
          </w:tcPr>
          <w:p w14:paraId="334926BB" w14:textId="77777777" w:rsidR="0037129E" w:rsidRDefault="0037129E" w:rsidP="0037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9" w:type="dxa"/>
          </w:tcPr>
          <w:p w14:paraId="185FAFF3" w14:textId="77777777" w:rsidR="0037129E" w:rsidRDefault="0037129E" w:rsidP="0037129E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979" w:type="dxa"/>
          </w:tcPr>
          <w:p w14:paraId="29EDB2DA" w14:textId="7E1C28F6" w:rsidR="0037129E" w:rsidRDefault="0037129E" w:rsidP="0037129E">
            <w:pPr>
              <w:spacing w:after="0" w:line="259" w:lineRule="auto"/>
              <w:ind w:left="12" w:right="0" w:firstLine="0"/>
              <w:jc w:val="left"/>
            </w:pPr>
            <w:r w:rsidRPr="004576EE">
              <w:rPr>
                <w:rFonts w:cstheme="minorHAnsi"/>
                <w:sz w:val="20"/>
                <w:szCs w:val="20"/>
              </w:rPr>
              <w:t>Ochrana a využití práv duševního vlastnictví</w:t>
            </w:r>
          </w:p>
        </w:tc>
      </w:tr>
      <w:tr w:rsidR="0037129E" w14:paraId="4B93A523" w14:textId="77777777" w:rsidTr="00484A77">
        <w:trPr>
          <w:trHeight w:val="567"/>
        </w:trPr>
        <w:tc>
          <w:tcPr>
            <w:tcW w:w="2103" w:type="dxa"/>
          </w:tcPr>
          <w:p w14:paraId="71A56658" w14:textId="77777777" w:rsidR="0037129E" w:rsidRDefault="0037129E" w:rsidP="0037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9" w:type="dxa"/>
          </w:tcPr>
          <w:p w14:paraId="71543D0B" w14:textId="77777777" w:rsidR="0037129E" w:rsidRDefault="0037129E" w:rsidP="0037129E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979" w:type="dxa"/>
          </w:tcPr>
          <w:p w14:paraId="47B6D199" w14:textId="07417458" w:rsidR="0037129E" w:rsidRDefault="0037129E" w:rsidP="0037129E">
            <w:pPr>
              <w:spacing w:after="0" w:line="259" w:lineRule="auto"/>
              <w:ind w:left="12" w:right="0" w:firstLine="0"/>
              <w:jc w:val="left"/>
            </w:pPr>
            <w:r w:rsidRPr="004576EE">
              <w:rPr>
                <w:rFonts w:cstheme="minorHAnsi"/>
                <w:sz w:val="20"/>
                <w:szCs w:val="20"/>
              </w:rPr>
              <w:t xml:space="preserve">Komercializace výsledků výzkumu </w:t>
            </w:r>
          </w:p>
        </w:tc>
      </w:tr>
      <w:tr w:rsidR="0037129E" w14:paraId="5CD94F77" w14:textId="77777777" w:rsidTr="00484A77">
        <w:trPr>
          <w:trHeight w:val="567"/>
        </w:trPr>
        <w:tc>
          <w:tcPr>
            <w:tcW w:w="2103" w:type="dxa"/>
          </w:tcPr>
          <w:p w14:paraId="7A32FF49" w14:textId="77777777" w:rsidR="0037129E" w:rsidRDefault="0037129E" w:rsidP="0037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9" w:type="dxa"/>
          </w:tcPr>
          <w:p w14:paraId="11788FFB" w14:textId="77777777" w:rsidR="0037129E" w:rsidRDefault="0037129E" w:rsidP="0037129E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979" w:type="dxa"/>
          </w:tcPr>
          <w:p w14:paraId="5938386B" w14:textId="5BC99763" w:rsidR="0037129E" w:rsidRDefault="0037129E" w:rsidP="0037129E">
            <w:pPr>
              <w:spacing w:after="0" w:line="259" w:lineRule="auto"/>
              <w:ind w:left="12" w:right="0" w:firstLine="0"/>
              <w:jc w:val="left"/>
            </w:pPr>
            <w:r w:rsidRPr="004576EE">
              <w:rPr>
                <w:rFonts w:cstheme="minorHAnsi"/>
                <w:sz w:val="20"/>
                <w:szCs w:val="20"/>
              </w:rPr>
              <w:t>Přístup ke kapitálu</w:t>
            </w:r>
          </w:p>
        </w:tc>
      </w:tr>
      <w:tr w:rsidR="0037129E" w14:paraId="4215807F" w14:textId="77777777" w:rsidTr="00484A77">
        <w:trPr>
          <w:trHeight w:val="567"/>
        </w:trPr>
        <w:tc>
          <w:tcPr>
            <w:tcW w:w="2103" w:type="dxa"/>
          </w:tcPr>
          <w:p w14:paraId="17CA65F8" w14:textId="77777777" w:rsidR="0037129E" w:rsidRDefault="0037129E" w:rsidP="0037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9" w:type="dxa"/>
          </w:tcPr>
          <w:p w14:paraId="4AB6977C" w14:textId="77777777" w:rsidR="0037129E" w:rsidRDefault="0037129E" w:rsidP="0037129E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979" w:type="dxa"/>
          </w:tcPr>
          <w:p w14:paraId="59DE5952" w14:textId="213B7863" w:rsidR="0037129E" w:rsidRDefault="0037129E" w:rsidP="0037129E">
            <w:pPr>
              <w:spacing w:after="0" w:line="259" w:lineRule="auto"/>
              <w:ind w:left="12" w:right="0" w:firstLine="0"/>
            </w:pPr>
            <w:r w:rsidRPr="004576EE">
              <w:rPr>
                <w:rFonts w:cstheme="minorHAnsi"/>
                <w:sz w:val="20"/>
                <w:szCs w:val="20"/>
              </w:rPr>
              <w:t xml:space="preserve">Validace podnikatelského modelu </w:t>
            </w:r>
          </w:p>
        </w:tc>
      </w:tr>
      <w:tr w:rsidR="0037129E" w14:paraId="6BFCE6F5" w14:textId="77777777" w:rsidTr="00484A77">
        <w:trPr>
          <w:trHeight w:val="567"/>
        </w:trPr>
        <w:tc>
          <w:tcPr>
            <w:tcW w:w="2103" w:type="dxa"/>
          </w:tcPr>
          <w:p w14:paraId="4DEF5C95" w14:textId="77777777" w:rsidR="0037129E" w:rsidRDefault="0037129E" w:rsidP="0037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9" w:type="dxa"/>
          </w:tcPr>
          <w:p w14:paraId="72BF8ECD" w14:textId="77777777" w:rsidR="0037129E" w:rsidRDefault="0037129E" w:rsidP="0037129E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979" w:type="dxa"/>
          </w:tcPr>
          <w:p w14:paraId="39D64409" w14:textId="13672A96" w:rsidR="0037129E" w:rsidRDefault="0037129E" w:rsidP="0037129E">
            <w:pPr>
              <w:spacing w:after="0" w:line="259" w:lineRule="auto"/>
              <w:ind w:left="12" w:right="0" w:firstLine="0"/>
              <w:jc w:val="left"/>
            </w:pPr>
            <w:r w:rsidRPr="004576EE">
              <w:rPr>
                <w:rFonts w:cstheme="minorHAnsi"/>
                <w:sz w:val="20"/>
                <w:szCs w:val="20"/>
              </w:rPr>
              <w:t xml:space="preserve">Obchodní a marketingové strategie </w:t>
            </w:r>
          </w:p>
        </w:tc>
      </w:tr>
      <w:tr w:rsidR="0037129E" w14:paraId="0F0791F9" w14:textId="77777777" w:rsidTr="00484A77">
        <w:trPr>
          <w:trHeight w:val="567"/>
        </w:trPr>
        <w:tc>
          <w:tcPr>
            <w:tcW w:w="2103" w:type="dxa"/>
          </w:tcPr>
          <w:p w14:paraId="60352F1A" w14:textId="77777777" w:rsidR="0037129E" w:rsidRDefault="0037129E" w:rsidP="0037129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9" w:type="dxa"/>
          </w:tcPr>
          <w:p w14:paraId="735CDA13" w14:textId="77777777" w:rsidR="0037129E" w:rsidRDefault="0037129E" w:rsidP="0037129E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979" w:type="dxa"/>
          </w:tcPr>
          <w:p w14:paraId="4C26FEBE" w14:textId="6C2D9451" w:rsidR="0037129E" w:rsidRDefault="0037129E" w:rsidP="0037129E">
            <w:pPr>
              <w:spacing w:after="0" w:line="259" w:lineRule="auto"/>
              <w:ind w:left="12" w:right="0" w:firstLine="0"/>
            </w:pPr>
            <w:r w:rsidRPr="004576EE">
              <w:rPr>
                <w:rFonts w:cstheme="minorHAnsi"/>
                <w:sz w:val="20"/>
                <w:szCs w:val="20"/>
              </w:rPr>
              <w:t xml:space="preserve">Poradenství v oblasti návrhových či konstrukčních procesů </w:t>
            </w:r>
          </w:p>
        </w:tc>
      </w:tr>
      <w:tr w:rsidR="0037129E" w14:paraId="05D51B0A" w14:textId="77777777" w:rsidTr="00484A77">
        <w:trPr>
          <w:trHeight w:val="567"/>
        </w:trPr>
        <w:tc>
          <w:tcPr>
            <w:tcW w:w="2103" w:type="dxa"/>
          </w:tcPr>
          <w:p w14:paraId="4CF3F66F" w14:textId="77777777" w:rsidR="0037129E" w:rsidRDefault="0037129E" w:rsidP="0037129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29" w:type="dxa"/>
          </w:tcPr>
          <w:p w14:paraId="4641D3DF" w14:textId="1857A5FE" w:rsidR="0037129E" w:rsidRDefault="0037129E" w:rsidP="0037129E">
            <w:pPr>
              <w:spacing w:after="0" w:line="259" w:lineRule="auto"/>
              <w:ind w:left="21" w:right="0" w:firstLine="0"/>
              <w:jc w:val="left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6979" w:type="dxa"/>
          </w:tcPr>
          <w:p w14:paraId="3B4C651D" w14:textId="77777777" w:rsidR="0037129E" w:rsidRDefault="0037129E" w:rsidP="0037129E">
            <w:pPr>
              <w:spacing w:after="0" w:line="259" w:lineRule="auto"/>
              <w:ind w:left="12" w:right="0" w:firstLine="0"/>
              <w:rPr>
                <w:rFonts w:cstheme="minorHAnsi"/>
                <w:sz w:val="20"/>
                <w:szCs w:val="20"/>
              </w:rPr>
            </w:pPr>
            <w:r w:rsidRPr="004576EE">
              <w:rPr>
                <w:rFonts w:cstheme="minorHAnsi"/>
                <w:sz w:val="20"/>
                <w:szCs w:val="20"/>
              </w:rPr>
              <w:t xml:space="preserve">Navazování a rozvíjení výzkumné spolupráce </w:t>
            </w:r>
          </w:p>
          <w:p w14:paraId="4D94F415" w14:textId="77777777" w:rsidR="00220842" w:rsidRDefault="00220842" w:rsidP="0037129E">
            <w:pPr>
              <w:spacing w:after="0" w:line="259" w:lineRule="auto"/>
              <w:ind w:left="12" w:right="0" w:firstLine="0"/>
              <w:rPr>
                <w:rFonts w:cstheme="minorHAnsi"/>
                <w:sz w:val="20"/>
                <w:szCs w:val="20"/>
              </w:rPr>
            </w:pPr>
          </w:p>
          <w:p w14:paraId="3E52FF18" w14:textId="77777777" w:rsidR="00220842" w:rsidRDefault="00220842" w:rsidP="0037129E">
            <w:pPr>
              <w:spacing w:after="0" w:line="259" w:lineRule="auto"/>
              <w:ind w:left="12" w:right="0" w:firstLine="0"/>
              <w:rPr>
                <w:rFonts w:cstheme="minorHAnsi"/>
                <w:sz w:val="20"/>
                <w:szCs w:val="20"/>
              </w:rPr>
            </w:pPr>
          </w:p>
          <w:p w14:paraId="6669D9CA" w14:textId="6664A677" w:rsidR="00220842" w:rsidRPr="009709F1" w:rsidRDefault="00220842" w:rsidP="0037129E">
            <w:pPr>
              <w:spacing w:after="0" w:line="259" w:lineRule="auto"/>
              <w:ind w:left="12" w:right="0" w:firstLine="0"/>
            </w:pPr>
          </w:p>
        </w:tc>
      </w:tr>
      <w:tr w:rsidR="00C80598" w14:paraId="545BA02D" w14:textId="77777777" w:rsidTr="00484A77">
        <w:trPr>
          <w:trHeight w:val="290"/>
        </w:trPr>
        <w:tc>
          <w:tcPr>
            <w:tcW w:w="2103" w:type="dxa"/>
          </w:tcPr>
          <w:p w14:paraId="4FF03012" w14:textId="413F96E3" w:rsidR="00BC3F0F" w:rsidRDefault="00BC3F0F" w:rsidP="00BC3F0F">
            <w:pPr>
              <w:spacing w:after="38" w:line="259" w:lineRule="auto"/>
              <w:ind w:left="20" w:right="0" w:firstLine="0"/>
              <w:jc w:val="left"/>
            </w:pPr>
            <w:r>
              <w:t xml:space="preserve">Alokace (dotace):  </w:t>
            </w:r>
          </w:p>
          <w:p w14:paraId="3077B3DB" w14:textId="77777777" w:rsidR="00C80598" w:rsidRDefault="00EA22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9" w:type="dxa"/>
          </w:tcPr>
          <w:p w14:paraId="7B3BAD73" w14:textId="77777777" w:rsidR="00C80598" w:rsidRDefault="00EA2224">
            <w:pPr>
              <w:spacing w:after="0" w:line="259" w:lineRule="auto"/>
              <w:ind w:left="21" w:right="0" w:firstLine="0"/>
              <w:jc w:val="left"/>
            </w:pPr>
            <w:r>
              <w:t xml:space="preserve"> </w:t>
            </w:r>
          </w:p>
        </w:tc>
        <w:tc>
          <w:tcPr>
            <w:tcW w:w="6979" w:type="dxa"/>
          </w:tcPr>
          <w:p w14:paraId="3B7A0D43" w14:textId="20A82E5A" w:rsidR="00C80598" w:rsidRDefault="00EA22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C3F0F">
              <w:t>1 076 328 Kč</w:t>
            </w:r>
          </w:p>
        </w:tc>
      </w:tr>
      <w:tr w:rsidR="00C80598" w14:paraId="4F0103B0" w14:textId="77777777" w:rsidTr="00484A77">
        <w:trPr>
          <w:trHeight w:val="881"/>
        </w:trPr>
        <w:tc>
          <w:tcPr>
            <w:tcW w:w="2103" w:type="dxa"/>
          </w:tcPr>
          <w:p w14:paraId="649EC810" w14:textId="77777777" w:rsidR="00C80598" w:rsidRDefault="00EA2224">
            <w:pPr>
              <w:spacing w:after="292" w:line="259" w:lineRule="auto"/>
              <w:ind w:left="20" w:right="0" w:firstLine="0"/>
              <w:jc w:val="left"/>
            </w:pPr>
            <w:r>
              <w:t xml:space="preserve">Míra podpory: </w:t>
            </w:r>
          </w:p>
          <w:p w14:paraId="3A6E08D8" w14:textId="77777777" w:rsidR="00C80598" w:rsidRDefault="00EA2224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729" w:type="dxa"/>
          </w:tcPr>
          <w:p w14:paraId="2A562A0D" w14:textId="77777777" w:rsidR="00C80598" w:rsidRDefault="00C805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79" w:type="dxa"/>
          </w:tcPr>
          <w:p w14:paraId="4697F78F" w14:textId="77777777" w:rsidR="00C80598" w:rsidRDefault="00EA2224">
            <w:pPr>
              <w:spacing w:after="0" w:line="259" w:lineRule="auto"/>
              <w:ind w:left="0" w:right="0" w:firstLine="0"/>
              <w:jc w:val="left"/>
            </w:pPr>
            <w:r>
              <w:t xml:space="preserve">75 % z celkových uznatelných výdajů na poskytnuté expertní poradenské služby </w:t>
            </w:r>
          </w:p>
        </w:tc>
      </w:tr>
      <w:tr w:rsidR="00C80598" w14:paraId="0613D3EA" w14:textId="77777777" w:rsidTr="00484A77">
        <w:trPr>
          <w:trHeight w:val="626"/>
        </w:trPr>
        <w:tc>
          <w:tcPr>
            <w:tcW w:w="2832" w:type="dxa"/>
            <w:gridSpan w:val="2"/>
          </w:tcPr>
          <w:p w14:paraId="74F74F80" w14:textId="77777777" w:rsidR="00C80598" w:rsidRPr="00AD693E" w:rsidRDefault="00EA2224">
            <w:pPr>
              <w:spacing w:after="38" w:line="259" w:lineRule="auto"/>
              <w:ind w:left="0" w:right="0" w:firstLine="0"/>
              <w:jc w:val="left"/>
              <w:rPr>
                <w:color w:val="auto"/>
              </w:rPr>
            </w:pPr>
            <w:r w:rsidRPr="00AD693E">
              <w:rPr>
                <w:color w:val="auto"/>
              </w:rPr>
              <w:t xml:space="preserve">Výše Podpory (dotace) </w:t>
            </w:r>
          </w:p>
          <w:p w14:paraId="4EB1D62A" w14:textId="77777777" w:rsidR="00C80598" w:rsidRPr="00AD693E" w:rsidRDefault="00EA2224">
            <w:pPr>
              <w:spacing w:after="0" w:line="259" w:lineRule="auto"/>
              <w:ind w:left="0" w:right="0" w:firstLine="0"/>
              <w:jc w:val="left"/>
              <w:rPr>
                <w:color w:val="auto"/>
                <w:highlight w:val="yellow"/>
              </w:rPr>
            </w:pPr>
            <w:r w:rsidRPr="00AD693E">
              <w:rPr>
                <w:color w:val="auto"/>
                <w:highlight w:val="yellow"/>
              </w:rPr>
              <w:t xml:space="preserve"> </w:t>
            </w:r>
          </w:p>
        </w:tc>
        <w:tc>
          <w:tcPr>
            <w:tcW w:w="6979" w:type="dxa"/>
          </w:tcPr>
          <w:p w14:paraId="1771DC0E" w14:textId="1B875487" w:rsidR="00C80598" w:rsidRPr="00BC3F0F" w:rsidRDefault="00BC3F0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44 847</w:t>
            </w:r>
            <w:r w:rsidR="00EA2224" w:rsidRPr="00BC3F0F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179 388</w:t>
            </w:r>
            <w:r w:rsidR="00EA2224" w:rsidRPr="00BC3F0F">
              <w:rPr>
                <w:color w:val="auto"/>
              </w:rPr>
              <w:t xml:space="preserve"> Kč </w:t>
            </w:r>
          </w:p>
        </w:tc>
      </w:tr>
      <w:tr w:rsidR="00C80598" w14:paraId="6F3EB06B" w14:textId="77777777" w:rsidTr="00484A77">
        <w:trPr>
          <w:trHeight w:val="783"/>
        </w:trPr>
        <w:tc>
          <w:tcPr>
            <w:tcW w:w="2832" w:type="dxa"/>
            <w:gridSpan w:val="2"/>
          </w:tcPr>
          <w:p w14:paraId="41B56EC8" w14:textId="77777777" w:rsidR="00C80598" w:rsidRDefault="00EA2224">
            <w:pPr>
              <w:spacing w:after="0" w:line="259" w:lineRule="auto"/>
              <w:ind w:left="20" w:right="0" w:firstLine="0"/>
              <w:jc w:val="left"/>
            </w:pPr>
            <w:r>
              <w:t xml:space="preserve">Příjem žádostí:  </w:t>
            </w:r>
          </w:p>
        </w:tc>
        <w:tc>
          <w:tcPr>
            <w:tcW w:w="6979" w:type="dxa"/>
          </w:tcPr>
          <w:p w14:paraId="6867C007" w14:textId="1FB0B522" w:rsidR="00C80598" w:rsidRDefault="00EA2224">
            <w:pPr>
              <w:spacing w:after="0" w:line="259" w:lineRule="auto"/>
              <w:ind w:left="0" w:right="101" w:firstLine="0"/>
            </w:pPr>
            <w:r>
              <w:t xml:space="preserve">od </w:t>
            </w:r>
            <w:r w:rsidRPr="00F86FB8">
              <w:rPr>
                <w:color w:val="auto"/>
              </w:rPr>
              <w:t>15. 2. 2021 do 3</w:t>
            </w:r>
            <w:r w:rsidR="00C926AC">
              <w:rPr>
                <w:color w:val="auto"/>
              </w:rPr>
              <w:t>0</w:t>
            </w:r>
            <w:r w:rsidRPr="00F86FB8">
              <w:rPr>
                <w:color w:val="auto"/>
              </w:rPr>
              <w:t xml:space="preserve">. </w:t>
            </w:r>
            <w:r w:rsidR="00C926AC">
              <w:rPr>
                <w:color w:val="auto"/>
              </w:rPr>
              <w:t>4</w:t>
            </w:r>
            <w:r w:rsidRPr="00F86FB8">
              <w:rPr>
                <w:color w:val="auto"/>
              </w:rPr>
              <w:t>. 2023</w:t>
            </w:r>
            <w:r w:rsidRPr="00AD693E">
              <w:rPr>
                <w:color w:val="auto"/>
              </w:rPr>
              <w:t xml:space="preserve"> nebo </w:t>
            </w:r>
            <w:r>
              <w:t xml:space="preserve">do vyčerpání finanční alokace (s průběžným hodnocením žádostí). </w:t>
            </w:r>
          </w:p>
        </w:tc>
      </w:tr>
    </w:tbl>
    <w:p w14:paraId="5302FDF1" w14:textId="77777777" w:rsidR="00C80598" w:rsidRDefault="00EA2224">
      <w:pPr>
        <w:spacing w:after="38" w:line="259" w:lineRule="auto"/>
        <w:ind w:left="20" w:right="0" w:firstLine="0"/>
        <w:jc w:val="left"/>
      </w:pPr>
      <w:r>
        <w:t xml:space="preserve"> </w:t>
      </w:r>
    </w:p>
    <w:p w14:paraId="34D4F72B" w14:textId="2AD8FB89" w:rsidR="00C80598" w:rsidRDefault="00EA2224">
      <w:pPr>
        <w:tabs>
          <w:tab w:val="center" w:pos="4062"/>
        </w:tabs>
        <w:spacing w:after="37"/>
        <w:ind w:left="0" w:right="0" w:firstLine="0"/>
        <w:jc w:val="left"/>
      </w:pPr>
      <w:r>
        <w:t xml:space="preserve">Doba realizace </w:t>
      </w:r>
      <w:proofErr w:type="gramStart"/>
      <w:r>
        <w:t xml:space="preserve">projektů:  </w:t>
      </w:r>
      <w:r>
        <w:tab/>
      </w:r>
      <w:proofErr w:type="gramEnd"/>
      <w:r>
        <w:t xml:space="preserve">nejpozději do 31. </w:t>
      </w:r>
      <w:r w:rsidR="00F86FB8">
        <w:t>5</w:t>
      </w:r>
      <w:r>
        <w:t xml:space="preserve">. 2023 </w:t>
      </w:r>
    </w:p>
    <w:p w14:paraId="691B06AF" w14:textId="77777777" w:rsidR="00C80598" w:rsidRDefault="00EA2224">
      <w:pPr>
        <w:spacing w:after="38" w:line="259" w:lineRule="auto"/>
        <w:ind w:left="20" w:right="0" w:firstLine="0"/>
        <w:jc w:val="left"/>
      </w:pPr>
      <w:r>
        <w:t xml:space="preserve"> </w:t>
      </w:r>
    </w:p>
    <w:p w14:paraId="7AD063A8" w14:textId="034BD5C5" w:rsidR="00740854" w:rsidRDefault="00EA2224" w:rsidP="00740854">
      <w:pPr>
        <w:spacing w:after="0"/>
        <w:ind w:left="15" w:right="26"/>
      </w:pPr>
      <w:r>
        <w:t xml:space="preserve">Výzva je vyhlášena v režimu podpory de minimis. </w:t>
      </w:r>
    </w:p>
    <w:p w14:paraId="3AAEFB32" w14:textId="77777777" w:rsidR="00C80598" w:rsidRDefault="00EA2224">
      <w:pPr>
        <w:spacing w:line="259" w:lineRule="auto"/>
        <w:ind w:left="-1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0644C2F" wp14:editId="52CB91B2">
                <wp:extent cx="6190489" cy="6096"/>
                <wp:effectExtent l="0" t="0" r="0" b="0"/>
                <wp:docPr id="10185" name="Group 10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489" cy="6096"/>
                          <a:chOff x="0" y="0"/>
                          <a:chExt cx="6190489" cy="6096"/>
                        </a:xfrm>
                      </wpg:grpSpPr>
                      <wps:wsp>
                        <wps:cNvPr id="13152" name="Shape 13152"/>
                        <wps:cNvSpPr/>
                        <wps:spPr>
                          <a:xfrm>
                            <a:off x="0" y="0"/>
                            <a:ext cx="6190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9" h="9144">
                                <a:moveTo>
                                  <a:pt x="0" y="0"/>
                                </a:moveTo>
                                <a:lnTo>
                                  <a:pt x="6190489" y="0"/>
                                </a:lnTo>
                                <a:lnTo>
                                  <a:pt x="6190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85" style="width:487.44pt;height:0.47998pt;mso-position-horizontal-relative:char;mso-position-vertical-relative:line" coordsize="61904,60">
                <v:shape id="Shape 13153" style="position:absolute;width:61904;height:91;left:0;top:0;" coordsize="6190489,9144" path="m0,0l6190489,0l61904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E77C83" w14:textId="785BD087" w:rsidR="00C80598" w:rsidRDefault="00EA2224">
      <w:pPr>
        <w:spacing w:after="0" w:line="259" w:lineRule="auto"/>
        <w:ind w:left="0" w:right="0" w:firstLine="0"/>
        <w:jc w:val="left"/>
        <w:rPr>
          <w:b/>
          <w:color w:val="FFFFFF"/>
        </w:rPr>
      </w:pPr>
      <w:r>
        <w:rPr>
          <w:b/>
          <w:color w:val="FFFFFF"/>
        </w:rPr>
        <w:t xml:space="preserve"> </w:t>
      </w:r>
      <w:r>
        <w:rPr>
          <w:b/>
          <w:color w:val="FFFFFF"/>
        </w:rPr>
        <w:tab/>
        <w:t xml:space="preserve"> </w:t>
      </w:r>
    </w:p>
    <w:p w14:paraId="755BBF54" w14:textId="5F80ADE4" w:rsidR="00740854" w:rsidRDefault="00740854">
      <w:pPr>
        <w:spacing w:after="0" w:line="259" w:lineRule="auto"/>
        <w:ind w:left="0" w:right="0" w:firstLine="0"/>
        <w:jc w:val="left"/>
        <w:rPr>
          <w:b/>
          <w:color w:val="FFFFFF"/>
        </w:rPr>
      </w:pPr>
    </w:p>
    <w:p w14:paraId="669BDE57" w14:textId="77777777" w:rsidR="00845EA4" w:rsidRDefault="00845EA4">
      <w:pPr>
        <w:spacing w:after="0" w:line="259" w:lineRule="auto"/>
        <w:ind w:left="0" w:right="0" w:firstLine="0"/>
        <w:jc w:val="left"/>
        <w:rPr>
          <w:b/>
          <w:color w:val="FFFFFF"/>
        </w:rPr>
      </w:pPr>
    </w:p>
    <w:p w14:paraId="2139DFCD" w14:textId="444B7B76" w:rsidR="00740854" w:rsidRDefault="00740854">
      <w:pPr>
        <w:spacing w:after="0" w:line="259" w:lineRule="auto"/>
        <w:ind w:left="0" w:right="0" w:firstLine="0"/>
        <w:jc w:val="left"/>
        <w:rPr>
          <w:b/>
          <w:color w:val="FFFFFF"/>
        </w:rPr>
      </w:pPr>
    </w:p>
    <w:p w14:paraId="1ECC3C5B" w14:textId="7917CB67" w:rsidR="00740854" w:rsidRDefault="00740854">
      <w:pPr>
        <w:spacing w:after="0" w:line="259" w:lineRule="auto"/>
        <w:ind w:left="0" w:right="0" w:firstLine="0"/>
        <w:jc w:val="left"/>
      </w:pPr>
    </w:p>
    <w:p w14:paraId="20E31C0A" w14:textId="43B77B95" w:rsidR="00740854" w:rsidRDefault="00740854">
      <w:pPr>
        <w:spacing w:after="0" w:line="259" w:lineRule="auto"/>
        <w:ind w:left="0" w:right="0" w:firstLine="0"/>
        <w:jc w:val="left"/>
      </w:pPr>
    </w:p>
    <w:p w14:paraId="7CA09523" w14:textId="4DE8D5B8" w:rsidR="00C80598" w:rsidRPr="00740854" w:rsidRDefault="00EA2224" w:rsidP="00740854">
      <w:pPr>
        <w:pStyle w:val="Nadpis1"/>
        <w:shd w:val="clear" w:color="auto" w:fill="C00000"/>
      </w:pPr>
      <w:r w:rsidRPr="00740854">
        <w:lastRenderedPageBreak/>
        <w:t xml:space="preserve">1. Cíl a očekávané přínosy programu </w:t>
      </w:r>
    </w:p>
    <w:p w14:paraId="63416EA9" w14:textId="33FBED9C" w:rsidR="006429C6" w:rsidRDefault="00EA2224" w:rsidP="006429C6">
      <w:pPr>
        <w:spacing w:after="160"/>
        <w:ind w:left="15" w:right="26"/>
        <w:rPr>
          <w:color w:val="C00000"/>
        </w:rPr>
      </w:pPr>
      <w:r>
        <w:t xml:space="preserve">Program </w:t>
      </w:r>
      <w:r>
        <w:rPr>
          <w:b/>
        </w:rPr>
        <w:t>„</w:t>
      </w:r>
      <w:r w:rsidR="001B41DD">
        <w:rPr>
          <w:b/>
        </w:rPr>
        <w:t xml:space="preserve">Operační program </w:t>
      </w:r>
      <w:r w:rsidR="00210116">
        <w:rPr>
          <w:b/>
        </w:rPr>
        <w:t>Podnikání a inovace pro konkurenceschopnost</w:t>
      </w:r>
      <w:r>
        <w:rPr>
          <w:b/>
        </w:rPr>
        <w:t>"</w:t>
      </w:r>
      <w:r>
        <w:t xml:space="preserve"> (dále jen program) podporuje formou poskytování zvýhodněných expertních poradenských služeb malé a střední podniky a OSVČ (dále příjemci podpory), které mají sídlo nebo provozovnu </w:t>
      </w:r>
      <w:r w:rsidR="00210116">
        <w:t xml:space="preserve">na území </w:t>
      </w:r>
      <w:r w:rsidR="00210116" w:rsidRPr="00AD693E">
        <w:rPr>
          <w:color w:val="auto"/>
        </w:rPr>
        <w:t>Královehradeckého nebo Pardubického kraje</w:t>
      </w:r>
      <w:r w:rsidRPr="00AD693E">
        <w:rPr>
          <w:color w:val="auto"/>
        </w:rPr>
        <w:t xml:space="preserve">. </w:t>
      </w:r>
      <w:r>
        <w:t>Cílem programu je zintenzivnit jejich inovační aktivity při zavádění strategických změn, optimalizace firemních procesů</w:t>
      </w:r>
      <w:r w:rsidR="00210116">
        <w:t>,</w:t>
      </w:r>
      <w:r w:rsidR="00210116" w:rsidRPr="00210116">
        <w:rPr>
          <w:color w:val="C00000"/>
        </w:rPr>
        <w:t xml:space="preserve"> </w:t>
      </w:r>
      <w:r w:rsidR="00210116" w:rsidRPr="00247527">
        <w:rPr>
          <w:color w:val="auto"/>
        </w:rPr>
        <w:t>posílení prosperity a konkurenceschopnosti a dále i podpořit vývoj nových produktů</w:t>
      </w:r>
      <w:r w:rsidR="006429C6" w:rsidRPr="00247527">
        <w:rPr>
          <w:color w:val="auto"/>
        </w:rPr>
        <w:t>, inovační poptávku a potenciál firem pro spolupráci s </w:t>
      </w:r>
      <w:proofErr w:type="spellStart"/>
      <w:r w:rsidR="006429C6" w:rsidRPr="00247527">
        <w:rPr>
          <w:color w:val="auto"/>
        </w:rPr>
        <w:t>VaV</w:t>
      </w:r>
      <w:proofErr w:type="spellEnd"/>
      <w:r w:rsidR="006429C6" w:rsidRPr="00247527">
        <w:rPr>
          <w:color w:val="auto"/>
        </w:rPr>
        <w:t xml:space="preserve"> institucemi a také ambicióznost firem.</w:t>
      </w:r>
    </w:p>
    <w:p w14:paraId="3942CA4F" w14:textId="47820D34" w:rsidR="00C80598" w:rsidRDefault="00EA2224" w:rsidP="006429C6">
      <w:pPr>
        <w:spacing w:after="160"/>
        <w:ind w:left="15" w:right="26"/>
      </w:pPr>
      <w:r>
        <w:t>Výstupy / výsledky poskytnutých služeb poslouží příjemci podpory k vyřešení konkrétní potřeby dalšího rozvoje jeho podnikatelských aktivit</w:t>
      </w:r>
      <w:r>
        <w:rPr>
          <w:i/>
        </w:rPr>
        <w:t>,</w:t>
      </w:r>
      <w:r>
        <w:t xml:space="preserve"> přičemž příjemce není z různých důvodů (např. nedostatek odborných znalostí a dovedností, nedostatečné vybavení, nedostatečné zkušenosti potřebné pro nové obchodní směřování) schopen tuto potřebu vyřešit samostatně, s využitím vlastních kapacit.  </w:t>
      </w:r>
    </w:p>
    <w:p w14:paraId="525805BA" w14:textId="77777777" w:rsidR="00C80598" w:rsidRDefault="00EA2224">
      <w:pPr>
        <w:spacing w:after="143" w:line="259" w:lineRule="auto"/>
        <w:ind w:left="20" w:right="0" w:firstLine="0"/>
        <w:jc w:val="left"/>
      </w:pPr>
      <w:r>
        <w:t xml:space="preserve"> </w:t>
      </w:r>
    </w:p>
    <w:p w14:paraId="15E07FEC" w14:textId="77777777" w:rsidR="00C80598" w:rsidRDefault="00EA2224" w:rsidP="00740854">
      <w:pPr>
        <w:pStyle w:val="Nadpis1"/>
        <w:shd w:val="clear" w:color="auto" w:fill="C00000"/>
        <w:ind w:left="15" w:right="0"/>
      </w:pPr>
      <w:r>
        <w:t xml:space="preserve">2.  Základní ustanovení a pojmy </w:t>
      </w:r>
    </w:p>
    <w:p w14:paraId="609841EC" w14:textId="0244328A" w:rsidR="00C80598" w:rsidRDefault="00EA2224">
      <w:pPr>
        <w:ind w:left="15" w:right="26"/>
      </w:pPr>
      <w:r>
        <w:t xml:space="preserve">Poskytovatelem podpory formou zvýhodněné expertní služby a administrátorem programu je </w:t>
      </w:r>
      <w:r w:rsidR="006429C6">
        <w:t>TECHNOLOGICK</w:t>
      </w:r>
      <w:r w:rsidR="00BC3F0F">
        <w:t>É CENTRUM</w:t>
      </w:r>
      <w:r w:rsidR="006429C6">
        <w:t xml:space="preserve"> Hradec Králové, z.ú.</w:t>
      </w:r>
      <w:r>
        <w:t xml:space="preserve"> (</w:t>
      </w:r>
      <w:r w:rsidR="006429C6">
        <w:t>TCHK</w:t>
      </w:r>
      <w:r>
        <w:t xml:space="preserve">), IČ: </w:t>
      </w:r>
      <w:r w:rsidR="006429C6">
        <w:t>274 93 784</w:t>
      </w:r>
      <w:r>
        <w:t xml:space="preserve">, </w:t>
      </w:r>
      <w:r w:rsidR="006429C6">
        <w:t>Piletická 486</w:t>
      </w:r>
      <w:r>
        <w:t xml:space="preserve">, </w:t>
      </w:r>
      <w:r w:rsidR="006429C6">
        <w:t>503 41</w:t>
      </w:r>
      <w:r>
        <w:t xml:space="preserve"> </w:t>
      </w:r>
      <w:r w:rsidR="006429C6">
        <w:t>Hradec Králové</w:t>
      </w:r>
      <w:r>
        <w:t xml:space="preserve"> (dále jen </w:t>
      </w:r>
      <w:r>
        <w:rPr>
          <w:i/>
        </w:rPr>
        <w:t>„poskytovatel služby“).</w:t>
      </w:r>
      <w:r>
        <w:t xml:space="preserve"> </w:t>
      </w:r>
    </w:p>
    <w:p w14:paraId="4C25D59F" w14:textId="64FA43C4" w:rsidR="00C80598" w:rsidRPr="00AD693E" w:rsidRDefault="00EA2224">
      <w:pPr>
        <w:ind w:left="15" w:right="26"/>
        <w:rPr>
          <w:color w:val="auto"/>
        </w:rPr>
      </w:pPr>
      <w:r w:rsidRPr="00247527">
        <w:rPr>
          <w:color w:val="auto"/>
        </w:rPr>
        <w:t>Žadatel o poskytnutí podpory (dále jen „</w:t>
      </w:r>
      <w:r w:rsidRPr="00247527">
        <w:rPr>
          <w:i/>
          <w:color w:val="auto"/>
        </w:rPr>
        <w:t>žadatel</w:t>
      </w:r>
      <w:r w:rsidRPr="00247527">
        <w:rPr>
          <w:color w:val="auto"/>
        </w:rPr>
        <w:t>“) je subjekt, který podal v programu</w:t>
      </w:r>
      <w:r w:rsidR="00831D89" w:rsidRPr="00247527">
        <w:rPr>
          <w:color w:val="auto"/>
        </w:rPr>
        <w:t xml:space="preserve"> </w:t>
      </w:r>
      <w:r w:rsidR="009608A6" w:rsidRPr="00247527">
        <w:rPr>
          <w:color w:val="auto"/>
        </w:rPr>
        <w:t xml:space="preserve">Operační program </w:t>
      </w:r>
      <w:r w:rsidR="00831D89" w:rsidRPr="00247527">
        <w:rPr>
          <w:color w:val="auto"/>
        </w:rPr>
        <w:t xml:space="preserve">Podnikání a inovace pro konkurenceschopnost </w:t>
      </w:r>
      <w:r w:rsidRPr="00247527">
        <w:rPr>
          <w:color w:val="auto"/>
        </w:rPr>
        <w:t xml:space="preserve">o Zvýhodněnou expertní službu v elektronické </w:t>
      </w:r>
      <w:r w:rsidR="00247527" w:rsidRPr="00247527">
        <w:rPr>
          <w:color w:val="auto"/>
        </w:rPr>
        <w:t>nebo</w:t>
      </w:r>
      <w:r w:rsidRPr="00247527">
        <w:rPr>
          <w:color w:val="auto"/>
        </w:rPr>
        <w:t xml:space="preserve"> tištěné podobě.</w:t>
      </w:r>
      <w:r w:rsidRPr="00AD693E">
        <w:rPr>
          <w:color w:val="auto"/>
        </w:rPr>
        <w:t xml:space="preserve"> </w:t>
      </w:r>
    </w:p>
    <w:p w14:paraId="62811B43" w14:textId="6E5F608E" w:rsidR="00C80598" w:rsidRDefault="00EA2224">
      <w:pPr>
        <w:ind w:left="15" w:right="26"/>
      </w:pPr>
      <w:r>
        <w:t>Příjemce podpory (dále jen „</w:t>
      </w:r>
      <w:r>
        <w:rPr>
          <w:i/>
        </w:rPr>
        <w:t>příjemce</w:t>
      </w:r>
      <w:r>
        <w:t>“) je podnikatelský subjekt, jehož žádost byla stanoveným procesem schválena k podpoře</w:t>
      </w:r>
      <w:r w:rsidRPr="00247527">
        <w:t xml:space="preserve">, </w:t>
      </w:r>
      <w:r w:rsidR="001B41DD" w:rsidRPr="00247527">
        <w:t>ředitelem</w:t>
      </w:r>
      <w:r w:rsidR="006429C6" w:rsidRPr="00247527">
        <w:t xml:space="preserve"> TCHK</w:t>
      </w:r>
      <w:r w:rsidR="00247527">
        <w:t xml:space="preserve"> z.ú</w:t>
      </w:r>
      <w:r>
        <w:t xml:space="preserve">. bylo vydáno Rozhodnutí o podpoře a následně s ním byla uzavřena Smlouva o poskytnutí zvýhodněné služby. </w:t>
      </w:r>
    </w:p>
    <w:p w14:paraId="0DFFC5C4" w14:textId="77777777" w:rsidR="00C80598" w:rsidRDefault="00EA2224">
      <w:pPr>
        <w:ind w:left="15" w:right="26"/>
      </w:pPr>
      <w:r>
        <w:t xml:space="preserve">Podpora je jednorázové cenové zvýhodnění poskytnuté příjemci ve formě zvýhodněné expertní služby založené na znalostech vedoucí k přenosu znalostí, které jsou pro příjemce a jeho obchodní činnost nové.  </w:t>
      </w:r>
    </w:p>
    <w:p w14:paraId="28529D50" w14:textId="5BAC33FD" w:rsidR="00C80598" w:rsidRDefault="00EA2224">
      <w:pPr>
        <w:ind w:left="15" w:right="26"/>
      </w:pPr>
      <w:r>
        <w:t xml:space="preserve">Cenové zvýhodnění je z hlediska DPH chápáno jako dotace k ceně dle § 4 zákona o DPH a bude promítnuto do vydané faktury za poskytnutou expertní službu ze strany poskytovatele služby. </w:t>
      </w:r>
      <w:r w:rsidRPr="00247527">
        <w:t>Expertní poradenství bude poskytováno ze strany poskytovatele služby prostřednictvím vlastních expertů.</w:t>
      </w:r>
      <w:r>
        <w:t xml:space="preserve"> </w:t>
      </w:r>
    </w:p>
    <w:p w14:paraId="0469C6E1" w14:textId="77777777" w:rsidR="00C80598" w:rsidRDefault="00EA2224">
      <w:pPr>
        <w:ind w:left="15" w:right="26"/>
      </w:pPr>
      <w:r>
        <w:t xml:space="preserve">Výstupy / výsledky poskytnutých služeb příjemce využije pro rozvoj svých inovačních aktivit v oblastech, které jsou v souladu s aktivitami této výzvy. </w:t>
      </w:r>
    </w:p>
    <w:p w14:paraId="68FF5DC8" w14:textId="77777777" w:rsidR="00C80598" w:rsidRDefault="00EA2224">
      <w:pPr>
        <w:spacing w:after="143" w:line="259" w:lineRule="auto"/>
        <w:ind w:left="20" w:right="0" w:firstLine="0"/>
        <w:jc w:val="left"/>
      </w:pPr>
      <w:r>
        <w:t xml:space="preserve"> </w:t>
      </w:r>
    </w:p>
    <w:p w14:paraId="27BDBCC4" w14:textId="77777777" w:rsidR="00C80598" w:rsidRDefault="00EA2224" w:rsidP="00740854">
      <w:pPr>
        <w:pStyle w:val="Nadpis1"/>
        <w:shd w:val="clear" w:color="auto" w:fill="C00000"/>
        <w:ind w:left="15" w:right="0"/>
      </w:pPr>
      <w:r>
        <w:t xml:space="preserve">3. Žadatel </w:t>
      </w:r>
    </w:p>
    <w:p w14:paraId="34FF6F64" w14:textId="77777777" w:rsidR="00C80598" w:rsidRDefault="00EA2224">
      <w:pPr>
        <w:spacing w:after="90"/>
        <w:ind w:left="15" w:right="26"/>
      </w:pPr>
      <w:r>
        <w:t xml:space="preserve">Žadatel musí splňovat ke dni podání žádosti tyto podmínky: </w:t>
      </w:r>
    </w:p>
    <w:p w14:paraId="46610E0B" w14:textId="77777777" w:rsidR="00C80598" w:rsidRDefault="00EA2224">
      <w:pPr>
        <w:numPr>
          <w:ilvl w:val="0"/>
          <w:numId w:val="1"/>
        </w:numPr>
        <w:spacing w:after="0"/>
        <w:ind w:right="26" w:hanging="360"/>
      </w:pPr>
      <w:r>
        <w:t xml:space="preserve">Je oprávněn k podnikání na území České republiky. </w:t>
      </w:r>
    </w:p>
    <w:p w14:paraId="1464971D" w14:textId="77777777" w:rsidR="00C80598" w:rsidRDefault="00EA2224">
      <w:pPr>
        <w:numPr>
          <w:ilvl w:val="0"/>
          <w:numId w:val="1"/>
        </w:numPr>
        <w:spacing w:after="0"/>
        <w:ind w:right="26" w:hanging="360"/>
      </w:pPr>
      <w:r>
        <w:t xml:space="preserve">Je zaregistrován jako poplatník daně z příjmů na finančním úřadě podle § 125, odst. (1) zákona </w:t>
      </w:r>
    </w:p>
    <w:p w14:paraId="7205E236" w14:textId="77777777" w:rsidR="00C80598" w:rsidRDefault="00EA2224">
      <w:pPr>
        <w:spacing w:after="27"/>
        <w:ind w:left="387" w:right="26"/>
      </w:pPr>
      <w:r>
        <w:t xml:space="preserve">č. 280/2009 Sb., daňový řád v platném znění. </w:t>
      </w:r>
    </w:p>
    <w:p w14:paraId="66C43809" w14:textId="1834B0DA" w:rsidR="00C80598" w:rsidRDefault="00EA2224">
      <w:pPr>
        <w:numPr>
          <w:ilvl w:val="0"/>
          <w:numId w:val="1"/>
        </w:numPr>
        <w:spacing w:after="0"/>
        <w:ind w:right="26" w:hanging="360"/>
      </w:pPr>
      <w:r>
        <w:t xml:space="preserve">Má sídlo nebo provozovnu na území </w:t>
      </w:r>
      <w:r w:rsidR="00BC3F0F">
        <w:rPr>
          <w:color w:val="auto"/>
        </w:rPr>
        <w:t xml:space="preserve">Královéhradeckého nebo Pardubického kraje, resp. </w:t>
      </w:r>
      <w:r w:rsidR="00BC3F0F">
        <w:t>v území</w:t>
      </w:r>
      <w:r w:rsidR="00BC3F0F" w:rsidRPr="005E6882">
        <w:t> </w:t>
      </w:r>
      <w:r w:rsidR="00BC3F0F" w:rsidRPr="005E6882">
        <w:rPr>
          <w:color w:val="auto"/>
        </w:rPr>
        <w:t>Hradecko-pardubické aglomerace</w:t>
      </w:r>
      <w:r w:rsidR="00BC3F0F">
        <w:rPr>
          <w:color w:val="auto"/>
        </w:rPr>
        <w:t xml:space="preserve"> ITI.</w:t>
      </w:r>
    </w:p>
    <w:p w14:paraId="10A6AC61" w14:textId="77777777" w:rsidR="00C80598" w:rsidRDefault="00EA2224">
      <w:pPr>
        <w:numPr>
          <w:ilvl w:val="0"/>
          <w:numId w:val="1"/>
        </w:numPr>
        <w:spacing w:after="0"/>
        <w:ind w:right="26" w:hanging="360"/>
      </w:pPr>
      <w:r>
        <w:lastRenderedPageBreak/>
        <w:t xml:space="preserve">Je malý nebo střední podnik podle definic stanovených v příloze I Nařízení komise (ES) </w:t>
      </w:r>
    </w:p>
    <w:p w14:paraId="652FC96C" w14:textId="77777777" w:rsidR="00C80598" w:rsidRDefault="00EA2224">
      <w:pPr>
        <w:spacing w:after="28"/>
        <w:ind w:left="387" w:right="26"/>
      </w:pPr>
      <w:r>
        <w:t xml:space="preserve">č. 651/2014 ze dne 17. června 2014, nebo OSVČ. </w:t>
      </w:r>
    </w:p>
    <w:p w14:paraId="754F194F" w14:textId="77777777" w:rsidR="00C80598" w:rsidRDefault="00EA2224">
      <w:pPr>
        <w:numPr>
          <w:ilvl w:val="0"/>
          <w:numId w:val="1"/>
        </w:numPr>
        <w:ind w:right="26" w:hanging="360"/>
      </w:pPr>
      <w:r>
        <w:t xml:space="preserve">Na realizaci služeb uvedených v žádosti ani na jejich části nečerpal jinou veřejnou podporu. </w:t>
      </w:r>
    </w:p>
    <w:p w14:paraId="768AED2C" w14:textId="77777777" w:rsidR="00C80598" w:rsidRDefault="00EA2224">
      <w:pPr>
        <w:numPr>
          <w:ilvl w:val="0"/>
          <w:numId w:val="1"/>
        </w:numPr>
        <w:spacing w:after="26"/>
        <w:ind w:right="26" w:hanging="360"/>
      </w:pPr>
      <w:r>
        <w:t xml:space="preserve">Jeho statutární orgán ani žádný ze členů jeho statutárního orgánu není v pracovněprávním vztahu s poskytovatelem služby. </w:t>
      </w:r>
    </w:p>
    <w:p w14:paraId="4AB9AC64" w14:textId="77777777" w:rsidR="00C80598" w:rsidRDefault="00EA2224">
      <w:pPr>
        <w:numPr>
          <w:ilvl w:val="0"/>
          <w:numId w:val="1"/>
        </w:numPr>
        <w:ind w:right="26" w:hanging="360"/>
      </w:pPr>
      <w:r>
        <w:t xml:space="preserve">Nemá žádné nedoplatky vůči poskytovateli zvýhodněné služby, finančnímu úřadu, České správě sociálního zabezpečení a zdravotním pojišťovnám. </w:t>
      </w:r>
    </w:p>
    <w:p w14:paraId="50175876" w14:textId="77777777" w:rsidR="00C80598" w:rsidRDefault="00EA2224">
      <w:pPr>
        <w:spacing w:line="295" w:lineRule="auto"/>
        <w:ind w:left="380" w:right="40" w:firstLine="0"/>
      </w:pPr>
      <w:r>
        <w:rPr>
          <w:sz w:val="20"/>
        </w:rPr>
        <w:t xml:space="preserve">Pozn. Má-li žadatel některý z výše uvedených nedoplatků a bylo mu povoleno </w:t>
      </w:r>
      <w:proofErr w:type="gramStart"/>
      <w:r>
        <w:rPr>
          <w:sz w:val="20"/>
        </w:rPr>
        <w:t>splácení  ve</w:t>
      </w:r>
      <w:proofErr w:type="gramEnd"/>
      <w:r>
        <w:rPr>
          <w:sz w:val="20"/>
        </w:rPr>
        <w:t xml:space="preserve"> splátkách, lze příspěvek poskytnout, není-li v prodlení se splácením splátek. Příspěvek lze poskytnout žadateli i v případě, bylo-li mu povoleno posečkání daně. Tyto skutečnosti je žadatel rovněž povinen doložit.</w:t>
      </w:r>
      <w:r>
        <w:t xml:space="preserve"> </w:t>
      </w:r>
    </w:p>
    <w:p w14:paraId="2AA9826E" w14:textId="77777777" w:rsidR="00C80598" w:rsidRDefault="00EA2224">
      <w:pPr>
        <w:numPr>
          <w:ilvl w:val="0"/>
          <w:numId w:val="1"/>
        </w:numPr>
        <w:spacing w:after="0"/>
        <w:ind w:right="26" w:hanging="360"/>
      </w:pPr>
      <w:r>
        <w:t xml:space="preserve">Nemá nedoplatky z titulu mzdových nároků jeho zaměstnanců. </w:t>
      </w:r>
    </w:p>
    <w:p w14:paraId="43FD8E74" w14:textId="77777777" w:rsidR="00C80598" w:rsidRDefault="00EA2224">
      <w:pPr>
        <w:numPr>
          <w:ilvl w:val="0"/>
          <w:numId w:val="1"/>
        </w:numPr>
        <w:spacing w:after="26"/>
        <w:ind w:right="26" w:hanging="360"/>
      </w:pPr>
      <w:r>
        <w:t xml:space="preserve">Nepodal návrh na povolení vyrovnání, ani vůči němu nebyl podán návrh na prohlášení konkursu na jeho majetek, ani nebyl zamítnut návrh na prohlášení konkursu pro nedostatek jeho majetku. </w:t>
      </w:r>
    </w:p>
    <w:p w14:paraId="714EBF78" w14:textId="77777777" w:rsidR="00C80598" w:rsidRDefault="00EA2224">
      <w:pPr>
        <w:numPr>
          <w:ilvl w:val="0"/>
          <w:numId w:val="1"/>
        </w:numPr>
        <w:spacing w:after="0"/>
        <w:ind w:right="26" w:hanging="360"/>
      </w:pPr>
      <w:r>
        <w:t xml:space="preserve">Není v úpadku či v likvidaci a jeho úpadek nebo hrozící úpadek není řešen v insolvenčním řízení. </w:t>
      </w:r>
    </w:p>
    <w:p w14:paraId="75145BCC" w14:textId="77777777" w:rsidR="00C80598" w:rsidRDefault="00EA2224">
      <w:pPr>
        <w:numPr>
          <w:ilvl w:val="0"/>
          <w:numId w:val="1"/>
        </w:numPr>
        <w:spacing w:after="26"/>
        <w:ind w:right="26" w:hanging="360"/>
      </w:pPr>
      <w:r>
        <w:t xml:space="preserve">Nebyl pravomocně odsouzen pro trestný čin. Tento předpoklad musí splňovat i statutární orgán a každý člen statutárního orgánu žadatele o voucher. </w:t>
      </w:r>
    </w:p>
    <w:p w14:paraId="29128F08" w14:textId="77777777" w:rsidR="00C80598" w:rsidRDefault="00EA2224">
      <w:pPr>
        <w:numPr>
          <w:ilvl w:val="0"/>
          <w:numId w:val="1"/>
        </w:numPr>
        <w:spacing w:after="0"/>
        <w:ind w:right="26" w:hanging="360"/>
      </w:pPr>
      <w:r>
        <w:t xml:space="preserve">Nejsou o něm žádné informace o odsouzení v evidenci Rejstříku trestů právnických osob. </w:t>
      </w:r>
    </w:p>
    <w:p w14:paraId="4805EB5D" w14:textId="77777777" w:rsidR="00C80598" w:rsidRDefault="00EA2224">
      <w:pPr>
        <w:numPr>
          <w:ilvl w:val="0"/>
          <w:numId w:val="1"/>
        </w:numPr>
        <w:spacing w:after="25"/>
        <w:ind w:right="26" w:hanging="360"/>
      </w:pPr>
      <w:r>
        <w:t xml:space="preserve">Nebyl na něj vydán inkasní příkaz po předchozím rozhodnutí Komise prohlašující, že poskytnutá podpora je protiprávní a neslučitelná se společným trhem. </w:t>
      </w:r>
    </w:p>
    <w:p w14:paraId="2623373D" w14:textId="77777777" w:rsidR="00C80598" w:rsidRDefault="00EA2224">
      <w:pPr>
        <w:numPr>
          <w:ilvl w:val="0"/>
          <w:numId w:val="1"/>
        </w:numPr>
        <w:spacing w:after="0"/>
        <w:ind w:right="26" w:hanging="360"/>
      </w:pPr>
      <w:r>
        <w:t xml:space="preserve">Není podnikem v obtížích (dle Nařízení Komise (ES) č. 651/2014). </w:t>
      </w:r>
    </w:p>
    <w:p w14:paraId="300ADA94" w14:textId="77777777" w:rsidR="00C80598" w:rsidRDefault="00EA2224">
      <w:pPr>
        <w:numPr>
          <w:ilvl w:val="0"/>
          <w:numId w:val="1"/>
        </w:numPr>
        <w:spacing w:after="5"/>
        <w:ind w:right="26" w:hanging="360"/>
      </w:pPr>
      <w:r>
        <w:t xml:space="preserve">Nemá vyčerpán svůj limit pro veřejnou podporu de minimis a má dostatečnou rezervu pro případ získání zvýhodněné expertní služby </w:t>
      </w:r>
    </w:p>
    <w:p w14:paraId="2B703B2E" w14:textId="77777777" w:rsidR="00C80598" w:rsidRDefault="00EA2224">
      <w:pPr>
        <w:spacing w:after="0" w:line="259" w:lineRule="auto"/>
        <w:ind w:left="380" w:right="0" w:firstLine="0"/>
        <w:jc w:val="left"/>
      </w:pPr>
      <w:r>
        <w:t xml:space="preserve"> </w:t>
      </w:r>
    </w:p>
    <w:tbl>
      <w:tblPr>
        <w:tblStyle w:val="TableGrid"/>
        <w:tblW w:w="9806" w:type="dxa"/>
        <w:tblInd w:w="-29" w:type="dxa"/>
        <w:tblCellMar>
          <w:top w:w="40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409"/>
        <w:gridCol w:w="9397"/>
      </w:tblGrid>
      <w:tr w:rsidR="00C80598" w14:paraId="606307E2" w14:textId="77777777" w:rsidTr="00740854">
        <w:trPr>
          <w:trHeight w:val="29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0B9B1E45" w14:textId="77777777" w:rsidR="00C80598" w:rsidRDefault="00EA22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4. </w:t>
            </w:r>
          </w:p>
        </w:tc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58E4E647" w14:textId="77777777" w:rsidR="00C80598" w:rsidRDefault="00EA2224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color w:val="FFFFFF"/>
              </w:rPr>
              <w:t xml:space="preserve">Způsobilost výdajů </w:t>
            </w:r>
          </w:p>
        </w:tc>
      </w:tr>
    </w:tbl>
    <w:p w14:paraId="52325DFD" w14:textId="5FF034E1" w:rsidR="00C80598" w:rsidRDefault="00EA2224">
      <w:pPr>
        <w:spacing w:after="205"/>
        <w:ind w:left="15" w:right="26"/>
      </w:pPr>
      <w:r>
        <w:t xml:space="preserve">Způsobilým výdajem jsou pouze výdaje na nákup expertních poradenských služeb v oblastech stanovených programem poskytovaných prostřednictvím </w:t>
      </w:r>
      <w:r w:rsidR="00247527">
        <w:t>TCHK z.ú</w:t>
      </w:r>
      <w:r>
        <w:t xml:space="preserve">. </w:t>
      </w:r>
    </w:p>
    <w:p w14:paraId="714C9A89" w14:textId="77777777" w:rsidR="00C80598" w:rsidRDefault="00EA2224">
      <w:pPr>
        <w:spacing w:after="205"/>
        <w:ind w:left="-5" w:right="-14" w:hanging="10"/>
      </w:pPr>
      <w:r>
        <w:rPr>
          <w:b/>
          <w:color w:val="221E20"/>
        </w:rPr>
        <w:t>DPH Daň z přidané hodnoty je nezpůsobilým výdajem</w:t>
      </w:r>
      <w:r>
        <w:rPr>
          <w:color w:val="221E20"/>
        </w:rPr>
        <w:t xml:space="preserve">, pokud příjemce plnění má nárok na odpočet daně na vstupu. Nárok na odpočet daně z přidané hodnoty je vymezen zákonem č. 235/2004 Sb., o dani z přidané hodnoty. </w:t>
      </w:r>
    </w:p>
    <w:p w14:paraId="22D15BA1" w14:textId="77777777" w:rsidR="00C80598" w:rsidRDefault="00EA2224">
      <w:pPr>
        <w:spacing w:after="205"/>
        <w:ind w:left="-5" w:right="-14" w:hanging="10"/>
      </w:pPr>
      <w:r>
        <w:rPr>
          <w:b/>
          <w:color w:val="221E20"/>
        </w:rPr>
        <w:t xml:space="preserve">Plátce </w:t>
      </w:r>
      <w:proofErr w:type="gramStart"/>
      <w:r>
        <w:rPr>
          <w:b/>
          <w:color w:val="221E20"/>
        </w:rPr>
        <w:t>DPH -</w:t>
      </w:r>
      <w:r>
        <w:rPr>
          <w:color w:val="221E20"/>
        </w:rPr>
        <w:t xml:space="preserve"> pro</w:t>
      </w:r>
      <w:proofErr w:type="gramEnd"/>
      <w:r>
        <w:rPr>
          <w:color w:val="221E20"/>
        </w:rPr>
        <w:t xml:space="preserve"> osoby, které jsou plátci daně z přidané hodnoty (osobami registrovanými k DPH), je daň z přidané hodnoty způsobilým výdajem v případě, že nemají nárok na odpočet DPH v plné výši u daného přijatého plnění v souladu se zákonem č. 235/2004 Sb., o dani z přidané hodnoty.  </w:t>
      </w:r>
    </w:p>
    <w:p w14:paraId="54B4EBA8" w14:textId="3890E3F8" w:rsidR="00C80598" w:rsidRDefault="00EA2224">
      <w:pPr>
        <w:spacing w:after="0"/>
        <w:ind w:left="-5" w:right="-14" w:hanging="10"/>
        <w:rPr>
          <w:color w:val="221E20"/>
        </w:rPr>
      </w:pPr>
      <w:r>
        <w:rPr>
          <w:b/>
          <w:color w:val="221E20"/>
        </w:rPr>
        <w:t xml:space="preserve">Neplátce </w:t>
      </w:r>
      <w:proofErr w:type="gramStart"/>
      <w:r>
        <w:rPr>
          <w:b/>
          <w:color w:val="221E20"/>
        </w:rPr>
        <w:t>DPH -</w:t>
      </w:r>
      <w:r>
        <w:rPr>
          <w:color w:val="221E20"/>
        </w:rPr>
        <w:t xml:space="preserve"> pro</w:t>
      </w:r>
      <w:proofErr w:type="gramEnd"/>
      <w:r>
        <w:rPr>
          <w:color w:val="221E20"/>
        </w:rPr>
        <w:t xml:space="preserve"> osoby neregistrované k DPH je daň z přidané hodnoty způsobilým výdajem, neboť tyto osoby si nemohou nárokovat odpočet daně z přidané hodnoty na vstupu. Způsobilá daň z přidané hodnoty se vztahuje pouze k plněním, která musí být sama považována za způsobilá. V případě, že je plnění způsobilé pouze z alikvotní části, pak je daň z přidané hodnoty vztahující se k tomuto plnění způsobilá ze stejné alikvotní části. </w:t>
      </w:r>
    </w:p>
    <w:p w14:paraId="29866D4C" w14:textId="251BCC09" w:rsidR="00E64566" w:rsidRDefault="00E64566">
      <w:pPr>
        <w:spacing w:after="0"/>
        <w:ind w:left="-5" w:right="-14" w:hanging="10"/>
      </w:pPr>
    </w:p>
    <w:p w14:paraId="366F3D6D" w14:textId="01DDB611" w:rsidR="00E64566" w:rsidRDefault="00E64566">
      <w:pPr>
        <w:spacing w:after="0"/>
        <w:ind w:left="-5" w:right="-14" w:hanging="10"/>
      </w:pPr>
    </w:p>
    <w:p w14:paraId="319E5B8E" w14:textId="77777777" w:rsidR="001B41DD" w:rsidRDefault="001B41DD">
      <w:pPr>
        <w:spacing w:after="0"/>
        <w:ind w:left="-5" w:right="-14" w:hanging="10"/>
      </w:pPr>
    </w:p>
    <w:p w14:paraId="299BB7AA" w14:textId="55E1B74B" w:rsidR="00E64566" w:rsidRDefault="00E64566">
      <w:pPr>
        <w:spacing w:after="0"/>
        <w:ind w:left="-5" w:right="-14" w:hanging="10"/>
      </w:pPr>
    </w:p>
    <w:p w14:paraId="4F419D79" w14:textId="77777777" w:rsidR="00E64566" w:rsidRDefault="00E64566">
      <w:pPr>
        <w:spacing w:after="0"/>
        <w:ind w:left="-5" w:right="-14" w:hanging="10"/>
      </w:pPr>
    </w:p>
    <w:tbl>
      <w:tblPr>
        <w:tblStyle w:val="TableGrid"/>
        <w:tblW w:w="9806" w:type="dxa"/>
        <w:tblInd w:w="-29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455"/>
        <w:gridCol w:w="9351"/>
      </w:tblGrid>
      <w:tr w:rsidR="00C80598" w14:paraId="732FF9F1" w14:textId="77777777" w:rsidTr="00247527">
        <w:trPr>
          <w:trHeight w:val="30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BC16067" w14:textId="77777777" w:rsidR="00C80598" w:rsidRDefault="00EA2224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color w:val="FFFFFF"/>
              </w:rPr>
              <w:lastRenderedPageBreak/>
              <w:t xml:space="preserve">5. </w:t>
            </w:r>
          </w:p>
        </w:tc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049C1721" w14:textId="77777777" w:rsidR="00C80598" w:rsidRDefault="00EA22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Podání žádosti o podporu </w:t>
            </w:r>
          </w:p>
        </w:tc>
      </w:tr>
    </w:tbl>
    <w:p w14:paraId="73AA2042" w14:textId="77777777" w:rsidR="00247527" w:rsidRPr="00247527" w:rsidRDefault="00247527" w:rsidP="00247527">
      <w:pPr>
        <w:pStyle w:val="Bezmezer"/>
        <w:ind w:left="360"/>
        <w:rPr>
          <w:rFonts w:cstheme="minorHAnsi"/>
          <w:sz w:val="20"/>
          <w:szCs w:val="20"/>
        </w:rPr>
      </w:pPr>
    </w:p>
    <w:p w14:paraId="40F0EDE4" w14:textId="77777777" w:rsidR="00ED0B82" w:rsidRDefault="00247527" w:rsidP="00ED0B82">
      <w:pPr>
        <w:pStyle w:val="Bezmezer"/>
        <w:numPr>
          <w:ilvl w:val="0"/>
          <w:numId w:val="9"/>
        </w:numPr>
        <w:rPr>
          <w:rFonts w:ascii="Arial" w:hAnsi="Arial" w:cs="Arial"/>
        </w:rPr>
      </w:pPr>
      <w:r w:rsidRPr="00247527">
        <w:rPr>
          <w:rFonts w:ascii="Arial" w:hAnsi="Arial" w:cs="Arial"/>
          <w:b/>
          <w:bCs/>
        </w:rPr>
        <w:t>fáze:</w:t>
      </w:r>
      <w:r w:rsidRPr="00247527">
        <w:rPr>
          <w:rFonts w:ascii="Arial" w:hAnsi="Arial" w:cs="Arial"/>
          <w:b/>
          <w:bCs/>
        </w:rPr>
        <w:tab/>
      </w:r>
      <w:r w:rsidR="00ED0B82" w:rsidRPr="00247527">
        <w:rPr>
          <w:rFonts w:ascii="Arial" w:hAnsi="Arial" w:cs="Arial"/>
        </w:rPr>
        <w:t>Vyplnění</w:t>
      </w:r>
      <w:r w:rsidRPr="00247527">
        <w:rPr>
          <w:rFonts w:ascii="Arial" w:hAnsi="Arial" w:cs="Arial"/>
        </w:rPr>
        <w:t xml:space="preserve"> registračního formuláře </w:t>
      </w:r>
      <w:r w:rsidR="00ED0B82">
        <w:rPr>
          <w:rFonts w:ascii="Arial" w:hAnsi="Arial" w:cs="Arial"/>
        </w:rPr>
        <w:t xml:space="preserve">na stránce </w:t>
      </w:r>
      <w:hyperlink r:id="rId8" w:history="1">
        <w:r w:rsidR="00ED0B82" w:rsidRPr="005C3F84">
          <w:rPr>
            <w:rStyle w:val="Hypertextovodkaz"/>
            <w:rFonts w:ascii="Arial" w:hAnsi="Arial" w:cs="Arial"/>
          </w:rPr>
          <w:t>www.expertni-poradenstvi.cz</w:t>
        </w:r>
      </w:hyperlink>
      <w:r w:rsidR="00ED0B82">
        <w:rPr>
          <w:rFonts w:ascii="Arial" w:hAnsi="Arial" w:cs="Arial"/>
        </w:rPr>
        <w:t xml:space="preserve">, </w:t>
      </w:r>
    </w:p>
    <w:p w14:paraId="13DA3901" w14:textId="77777777" w:rsidR="00ED0B82" w:rsidRDefault="00247527" w:rsidP="00ED0B82">
      <w:pPr>
        <w:pStyle w:val="Bezmezer"/>
        <w:ind w:left="1068" w:firstLine="348"/>
        <w:rPr>
          <w:rFonts w:ascii="Arial" w:hAnsi="Arial" w:cs="Arial"/>
        </w:rPr>
      </w:pPr>
      <w:r w:rsidRPr="00ED0B82">
        <w:rPr>
          <w:rFonts w:ascii="Arial" w:hAnsi="Arial" w:cs="Arial"/>
        </w:rPr>
        <w:t xml:space="preserve">zveřejněné v termínu </w:t>
      </w:r>
      <w:r w:rsidRPr="00247527">
        <w:rPr>
          <w:rFonts w:ascii="Arial" w:hAnsi="Arial" w:cs="Arial"/>
        </w:rPr>
        <w:t xml:space="preserve">zahájení příjmu žádostí. Obratem po registraci Vám budou </w:t>
      </w:r>
    </w:p>
    <w:p w14:paraId="2AA04249" w14:textId="22EDB234" w:rsidR="00247527" w:rsidRPr="00247527" w:rsidRDefault="00247527" w:rsidP="00ED0B82">
      <w:pPr>
        <w:pStyle w:val="Bezmezer"/>
        <w:ind w:left="1068" w:firstLine="348"/>
        <w:rPr>
          <w:rFonts w:ascii="Arial" w:hAnsi="Arial" w:cs="Arial"/>
        </w:rPr>
      </w:pPr>
      <w:r w:rsidRPr="00247527">
        <w:rPr>
          <w:rFonts w:ascii="Arial" w:hAnsi="Arial" w:cs="Arial"/>
        </w:rPr>
        <w:t>zaslány veškeré informace a formuláře pro zpracování žádosti:</w:t>
      </w:r>
    </w:p>
    <w:p w14:paraId="611BA988" w14:textId="77777777" w:rsidR="00247527" w:rsidRPr="00247527" w:rsidRDefault="00247527" w:rsidP="00247527">
      <w:pPr>
        <w:pStyle w:val="Bezmezer"/>
        <w:numPr>
          <w:ilvl w:val="0"/>
          <w:numId w:val="10"/>
        </w:numPr>
        <w:rPr>
          <w:rFonts w:ascii="Arial" w:hAnsi="Arial" w:cs="Arial"/>
        </w:rPr>
      </w:pPr>
      <w:r w:rsidRPr="00247527">
        <w:rPr>
          <w:rFonts w:ascii="Arial" w:hAnsi="Arial" w:cs="Arial"/>
        </w:rPr>
        <w:t>Formulář žádosti</w:t>
      </w:r>
    </w:p>
    <w:p w14:paraId="7D43BD64" w14:textId="451A53F5" w:rsidR="00247527" w:rsidRPr="00247527" w:rsidRDefault="00247527" w:rsidP="00247527">
      <w:pPr>
        <w:pStyle w:val="Bezmezer"/>
        <w:numPr>
          <w:ilvl w:val="0"/>
          <w:numId w:val="10"/>
        </w:numPr>
        <w:rPr>
          <w:rFonts w:ascii="Arial" w:hAnsi="Arial" w:cs="Arial"/>
        </w:rPr>
      </w:pPr>
      <w:r w:rsidRPr="00247527">
        <w:rPr>
          <w:rFonts w:ascii="Arial" w:hAnsi="Arial" w:cs="Arial"/>
        </w:rPr>
        <w:t>Čestné prohlášení</w:t>
      </w:r>
    </w:p>
    <w:p w14:paraId="2AC59041" w14:textId="77777777" w:rsidR="00247527" w:rsidRPr="00247527" w:rsidRDefault="00247527" w:rsidP="00247527">
      <w:pPr>
        <w:numPr>
          <w:ilvl w:val="1"/>
          <w:numId w:val="8"/>
        </w:numPr>
        <w:spacing w:before="100" w:beforeAutospacing="1" w:after="100" w:afterAutospacing="1" w:line="240" w:lineRule="auto"/>
        <w:ind w:right="0"/>
        <w:jc w:val="left"/>
        <w:rPr>
          <w:color w:val="212529"/>
        </w:rPr>
      </w:pPr>
      <w:r w:rsidRPr="00247527">
        <w:rPr>
          <w:color w:val="212529"/>
        </w:rPr>
        <w:t xml:space="preserve">Vyplněnou finální verzi žádosti, vč. všech požadovaných příloh vytiskněte </w:t>
      </w:r>
      <w:r w:rsidRPr="00247527">
        <w:rPr>
          <w:color w:val="212529"/>
          <w:u w:val="single"/>
        </w:rPr>
        <w:t>a podepsaný originál žádosti s přiloženým podepsaným originálem čestného prohlášení doručí na adresu</w:t>
      </w:r>
      <w:r w:rsidRPr="00247527">
        <w:rPr>
          <w:color w:val="212529"/>
        </w:rPr>
        <w:t> TECHNOLOGICKÉ CENTRUM Hradec Králové z.ú., Piletická 486/19 – letiště, 503 41 Hradec Králové.</w:t>
      </w:r>
      <w:r w:rsidRPr="00247527">
        <w:rPr>
          <w:color w:val="000000" w:themeColor="text1"/>
        </w:rPr>
        <w:t xml:space="preserve"> </w:t>
      </w:r>
      <w:r w:rsidRPr="00247527">
        <w:rPr>
          <w:color w:val="212529"/>
        </w:rPr>
        <w:t>Na obálce bude uveden název odesílatele a heslo </w:t>
      </w:r>
      <w:r w:rsidRPr="00247527">
        <w:rPr>
          <w:b/>
          <w:bCs/>
          <w:color w:val="212529"/>
        </w:rPr>
        <w:t>" Poskytování expertních služeb pro MSP "</w:t>
      </w:r>
      <w:r w:rsidRPr="00247527">
        <w:rPr>
          <w:color w:val="212529"/>
        </w:rPr>
        <w:t xml:space="preserve">. Při osobním doručení sledujte, prosím, aktuální otevírací hodiny recepce TC HK. </w:t>
      </w:r>
    </w:p>
    <w:p w14:paraId="783BC8E1" w14:textId="77777777" w:rsidR="00247527" w:rsidRPr="00247527" w:rsidRDefault="00247527" w:rsidP="00247527">
      <w:pPr>
        <w:numPr>
          <w:ilvl w:val="1"/>
          <w:numId w:val="8"/>
        </w:numPr>
        <w:spacing w:before="100" w:beforeAutospacing="1" w:after="100" w:afterAutospacing="1" w:line="240" w:lineRule="auto"/>
        <w:ind w:right="0"/>
        <w:jc w:val="left"/>
        <w:rPr>
          <w:color w:val="212529"/>
        </w:rPr>
      </w:pPr>
      <w:r w:rsidRPr="00247527">
        <w:rPr>
          <w:color w:val="000000" w:themeColor="text1"/>
        </w:rPr>
        <w:t xml:space="preserve">Disponujete-li elektronickým podpisem, elektronicky podepsané oba dokumenty zašlete na náš email </w:t>
      </w:r>
      <w:hyperlink r:id="rId9" w:history="1">
        <w:r w:rsidRPr="00247527">
          <w:rPr>
            <w:rStyle w:val="Hypertextovodkaz"/>
            <w:color w:val="000000" w:themeColor="text1"/>
          </w:rPr>
          <w:t>poradenství@tchk.cz</w:t>
        </w:r>
      </w:hyperlink>
      <w:r w:rsidRPr="00247527">
        <w:rPr>
          <w:color w:val="000000" w:themeColor="text1"/>
        </w:rPr>
        <w:t>.</w:t>
      </w:r>
    </w:p>
    <w:p w14:paraId="28965394" w14:textId="77777777" w:rsidR="00247527" w:rsidRPr="00247527" w:rsidRDefault="00247527" w:rsidP="00247527">
      <w:pPr>
        <w:numPr>
          <w:ilvl w:val="1"/>
          <w:numId w:val="8"/>
        </w:numPr>
        <w:spacing w:before="100" w:beforeAutospacing="1" w:after="100" w:afterAutospacing="1" w:line="240" w:lineRule="auto"/>
        <w:ind w:right="0"/>
        <w:jc w:val="left"/>
        <w:rPr>
          <w:color w:val="212529"/>
        </w:rPr>
      </w:pPr>
      <w:r w:rsidRPr="00247527">
        <w:rPr>
          <w:color w:val="212529"/>
        </w:rPr>
        <w:t>Žádost musí být podepsána osobou oprávněnou (osobami oprávněnými) jednat jménem žadatele (v souladu se způsobem jednání uvedeným v obchodním rejstříku). V případě, že bude podepsána osobou, která za žadatele jedná v zastoupení, musí tato skutečnost ze žádosti vyplývat (např. bude u podpisu této osoby připsáno „v zastoupení na základě plné moci") a žadatel je povinen dále k žádosti o podporu doložit plnou moc v originále nebo úředně ověřenou kopii. </w:t>
      </w:r>
    </w:p>
    <w:p w14:paraId="2A1127B7" w14:textId="77777777" w:rsidR="00247527" w:rsidRPr="00247527" w:rsidRDefault="00247527" w:rsidP="00247527">
      <w:pPr>
        <w:numPr>
          <w:ilvl w:val="1"/>
          <w:numId w:val="8"/>
        </w:numPr>
        <w:spacing w:before="100" w:beforeAutospacing="1" w:after="100" w:afterAutospacing="1" w:line="240" w:lineRule="auto"/>
        <w:ind w:right="0"/>
        <w:jc w:val="left"/>
        <w:rPr>
          <w:color w:val="212529"/>
        </w:rPr>
      </w:pPr>
      <w:r w:rsidRPr="00247527">
        <w:rPr>
          <w:color w:val="212529"/>
        </w:rPr>
        <w:t>Rozhodující je datum doručení elektronické verze žádosti.</w:t>
      </w:r>
    </w:p>
    <w:p w14:paraId="2F4F0668" w14:textId="77777777" w:rsidR="00247527" w:rsidRDefault="00247527" w:rsidP="00247527">
      <w:pPr>
        <w:pStyle w:val="Odstavecseseznamem"/>
        <w:numPr>
          <w:ilvl w:val="0"/>
          <w:numId w:val="9"/>
        </w:numPr>
        <w:spacing w:after="100" w:afterAutospacing="1"/>
        <w:rPr>
          <w:rFonts w:ascii="Arial" w:hAnsi="Arial" w:cs="Arial"/>
          <w:color w:val="212529"/>
          <w:sz w:val="22"/>
          <w:szCs w:val="22"/>
        </w:rPr>
      </w:pPr>
      <w:r w:rsidRPr="00247527">
        <w:rPr>
          <w:rFonts w:ascii="Arial" w:hAnsi="Arial" w:cs="Arial"/>
          <w:b/>
          <w:bCs/>
          <w:sz w:val="22"/>
          <w:szCs w:val="22"/>
        </w:rPr>
        <w:t>fáze:</w:t>
      </w:r>
      <w:r w:rsidRPr="00247527">
        <w:rPr>
          <w:rFonts w:ascii="Arial" w:hAnsi="Arial" w:cs="Arial"/>
          <w:b/>
          <w:bCs/>
          <w:sz w:val="22"/>
          <w:szCs w:val="22"/>
        </w:rPr>
        <w:tab/>
      </w:r>
      <w:r w:rsidRPr="00247527">
        <w:rPr>
          <w:rFonts w:ascii="Arial" w:hAnsi="Arial" w:cs="Arial"/>
          <w:b/>
          <w:bCs/>
          <w:color w:val="212529"/>
          <w:sz w:val="22"/>
          <w:szCs w:val="22"/>
        </w:rPr>
        <w:t>Poskytovatel podpory nominuje poradenský tým, který </w:t>
      </w:r>
      <w:r w:rsidRPr="00247527">
        <w:rPr>
          <w:rFonts w:ascii="Arial" w:hAnsi="Arial" w:cs="Arial"/>
          <w:color w:val="212529"/>
          <w:sz w:val="22"/>
          <w:szCs w:val="22"/>
        </w:rPr>
        <w:t xml:space="preserve">uskutečnění bezplatnou </w:t>
      </w:r>
    </w:p>
    <w:p w14:paraId="381185A2" w14:textId="247F7F96" w:rsidR="00247527" w:rsidRPr="00247527" w:rsidRDefault="00247527" w:rsidP="00247527">
      <w:pPr>
        <w:pStyle w:val="Odstavecseseznamem"/>
        <w:spacing w:after="100" w:afterAutospacing="1"/>
        <w:ind w:left="1416"/>
        <w:rPr>
          <w:rFonts w:ascii="Arial" w:hAnsi="Arial" w:cs="Arial"/>
          <w:color w:val="212529"/>
          <w:sz w:val="22"/>
          <w:szCs w:val="22"/>
        </w:rPr>
      </w:pPr>
      <w:r w:rsidRPr="00247527">
        <w:rPr>
          <w:rFonts w:ascii="Arial" w:hAnsi="Arial" w:cs="Arial"/>
          <w:color w:val="212529"/>
          <w:sz w:val="22"/>
          <w:szCs w:val="22"/>
        </w:rPr>
        <w:t>konzultaci s pověřenými zástupci žadatele (maximální doba trvání 5 hod), jejímž obsahem bude posouzení vhodnosti žadatele pro poskytnutí služby, podrobná specifikace obsahu, rozsahu a výstupů požadované expertní služby. Výstupem konzultace bude zpracovaná konkrétní </w:t>
      </w:r>
      <w:r w:rsidRPr="00247527">
        <w:rPr>
          <w:rFonts w:ascii="Arial" w:hAnsi="Arial" w:cs="Arial"/>
          <w:b/>
          <w:bCs/>
          <w:color w:val="212529"/>
          <w:sz w:val="22"/>
          <w:szCs w:val="22"/>
        </w:rPr>
        <w:t>Nabídka zvýhodněné expertní služby, </w:t>
      </w:r>
      <w:r w:rsidRPr="00247527">
        <w:rPr>
          <w:rFonts w:ascii="Arial" w:hAnsi="Arial" w:cs="Arial"/>
          <w:color w:val="212529"/>
          <w:sz w:val="22"/>
          <w:szCs w:val="22"/>
        </w:rPr>
        <w:t>která bude specifikovat expertní tým, rozsah služby v předpokládané struktuře, hodinovou dotaci služby, očekávané výstupy a rozpočet poskytované služby včetně stanovení výše podpory.</w:t>
      </w:r>
    </w:p>
    <w:p w14:paraId="13406A0D" w14:textId="77777777" w:rsidR="00247527" w:rsidRPr="00247527" w:rsidRDefault="00247527" w:rsidP="00247527">
      <w:pPr>
        <w:spacing w:after="100" w:afterAutospacing="1"/>
        <w:rPr>
          <w:color w:val="212529"/>
        </w:rPr>
      </w:pPr>
      <w:r w:rsidRPr="00247527">
        <w:rPr>
          <w:b/>
          <w:bCs/>
          <w:color w:val="212529"/>
        </w:rPr>
        <w:t>Podepsané dokumenty Formulář žádosti a Nabídka zvýhodněné služby tvoří nedílnou součást žádosti a takto mohou postoupit do fáze hodnocení.</w:t>
      </w:r>
    </w:p>
    <w:p w14:paraId="1BDDD8A8" w14:textId="143E5DE0" w:rsidR="00C80598" w:rsidRDefault="00C80598">
      <w:pPr>
        <w:spacing w:line="267" w:lineRule="auto"/>
        <w:ind w:left="18" w:right="0" w:hanging="10"/>
        <w:jc w:val="left"/>
      </w:pPr>
    </w:p>
    <w:p w14:paraId="28CD6F36" w14:textId="77777777" w:rsidR="00C80598" w:rsidRDefault="00EA2224">
      <w:pPr>
        <w:spacing w:after="0" w:line="259" w:lineRule="auto"/>
        <w:ind w:left="380" w:right="0" w:firstLine="0"/>
        <w:jc w:val="left"/>
      </w:pPr>
      <w:r>
        <w:rPr>
          <w:b/>
        </w:rPr>
        <w:t xml:space="preserve"> </w:t>
      </w:r>
    </w:p>
    <w:p w14:paraId="6C303DB6" w14:textId="77777777" w:rsidR="00C80598" w:rsidRPr="00845EA4" w:rsidRDefault="00EA2224" w:rsidP="00845EA4">
      <w:pPr>
        <w:pStyle w:val="Nadpis1"/>
        <w:shd w:val="clear" w:color="auto" w:fill="C00000"/>
        <w:spacing w:after="177"/>
        <w:ind w:left="15" w:right="0"/>
        <w:rPr>
          <w:color w:val="C00000"/>
        </w:rPr>
      </w:pPr>
      <w:r>
        <w:t xml:space="preserve">6. Hodnocení Žádosti o podporu, vydání Rozhodnutí </w:t>
      </w:r>
    </w:p>
    <w:p w14:paraId="11BC59D1" w14:textId="59A970E2" w:rsidR="00C80598" w:rsidRDefault="00EA2224">
      <w:pPr>
        <w:spacing w:after="266"/>
        <w:ind w:left="15" w:right="26"/>
      </w:pPr>
      <w:r>
        <w:t>V rámci výzvy bude probíhat průběžné měsíční hodnocení žádostí</w:t>
      </w:r>
      <w:r w:rsidR="00E31903">
        <w:t xml:space="preserve">, nejpozději </w:t>
      </w:r>
      <w:r>
        <w:t xml:space="preserve">do 15 dnů </w:t>
      </w:r>
      <w:r w:rsidR="00E31903">
        <w:t>ode dne podání žádosti</w:t>
      </w:r>
      <w:r>
        <w:t xml:space="preserve">.  </w:t>
      </w:r>
    </w:p>
    <w:p w14:paraId="01CE7395" w14:textId="77777777" w:rsidR="00C80598" w:rsidRDefault="00EA2224">
      <w:pPr>
        <w:numPr>
          <w:ilvl w:val="0"/>
          <w:numId w:val="3"/>
        </w:numPr>
        <w:spacing w:after="27"/>
        <w:ind w:right="26" w:hanging="360"/>
      </w:pPr>
      <w:r>
        <w:rPr>
          <w:b/>
        </w:rPr>
        <w:t xml:space="preserve">Formální kontrola – </w:t>
      </w:r>
      <w:r>
        <w:t xml:space="preserve">zahrnuje administrativní kontrolu, kontroluje se zda:  </w:t>
      </w:r>
    </w:p>
    <w:p w14:paraId="6834C7A2" w14:textId="4C61847F" w:rsidR="00C80598" w:rsidRDefault="00EA2224">
      <w:pPr>
        <w:numPr>
          <w:ilvl w:val="1"/>
          <w:numId w:val="3"/>
        </w:numPr>
        <w:ind w:right="26" w:hanging="360"/>
      </w:pPr>
      <w:r>
        <w:t xml:space="preserve">Žádost byla doručena </w:t>
      </w:r>
      <w:r w:rsidR="00C926AC">
        <w:t>předepsaným způsobem</w:t>
      </w:r>
      <w:r>
        <w:t xml:space="preserve">; </w:t>
      </w:r>
    </w:p>
    <w:p w14:paraId="4BDB8E02" w14:textId="77777777" w:rsidR="00C80598" w:rsidRDefault="00EA2224">
      <w:pPr>
        <w:numPr>
          <w:ilvl w:val="1"/>
          <w:numId w:val="3"/>
        </w:numPr>
        <w:ind w:right="26" w:hanging="360"/>
      </w:pPr>
      <w:r>
        <w:t xml:space="preserve">Údaje o žadateli souhlasí s údaji v obchodním rejstříku; </w:t>
      </w:r>
    </w:p>
    <w:p w14:paraId="40E3D2BF" w14:textId="77777777" w:rsidR="00C80598" w:rsidRDefault="00EA2224">
      <w:pPr>
        <w:numPr>
          <w:ilvl w:val="1"/>
          <w:numId w:val="3"/>
        </w:numPr>
        <w:ind w:right="26" w:hanging="360"/>
      </w:pPr>
      <w:r>
        <w:t xml:space="preserve">Žadatel splňuje podmínky stanovené programem; </w:t>
      </w:r>
    </w:p>
    <w:p w14:paraId="7F18B210" w14:textId="77777777" w:rsidR="00C80598" w:rsidRDefault="00EA2224">
      <w:pPr>
        <w:numPr>
          <w:ilvl w:val="1"/>
          <w:numId w:val="3"/>
        </w:numPr>
        <w:ind w:right="26" w:hanging="360"/>
      </w:pPr>
      <w:r>
        <w:t xml:space="preserve">Žádost včetně přílohy je předložena v předepsané formě; </w:t>
      </w:r>
    </w:p>
    <w:p w14:paraId="7174175B" w14:textId="77777777" w:rsidR="00C80598" w:rsidRDefault="00EA2224">
      <w:pPr>
        <w:numPr>
          <w:ilvl w:val="1"/>
          <w:numId w:val="3"/>
        </w:numPr>
        <w:ind w:right="26" w:hanging="360"/>
      </w:pPr>
      <w:r>
        <w:lastRenderedPageBreak/>
        <w:t xml:space="preserve">Žádost včetně přílohy je řádně vyplněná a obsahuje všechny požadované údaje a informace; </w:t>
      </w:r>
    </w:p>
    <w:p w14:paraId="0DB0EE88" w14:textId="77777777" w:rsidR="00C80598" w:rsidRDefault="00EA2224">
      <w:pPr>
        <w:numPr>
          <w:ilvl w:val="1"/>
          <w:numId w:val="3"/>
        </w:numPr>
        <w:ind w:right="26" w:hanging="360"/>
      </w:pPr>
      <w:r>
        <w:t xml:space="preserve">Žádost včetně přílohy je podepsána osobami oprávněnými jednat jménem žadatele. </w:t>
      </w:r>
      <w:r>
        <w:rPr>
          <w:b/>
        </w:rPr>
        <w:t>Žadatelé, jejichž žádost o poskytnutí podpory nesplní některý z požadavků administrativní kontroly, budou z dalšího procesu vyloučeni</w:t>
      </w:r>
      <w:r>
        <w:t xml:space="preserve"> (tj. jejich žádosti budou zamítnuty). O této skutečnosti budou žadatelé informováni. </w:t>
      </w:r>
    </w:p>
    <w:p w14:paraId="57BB7D3E" w14:textId="77777777" w:rsidR="00C80598" w:rsidRDefault="00EA2224">
      <w:pPr>
        <w:spacing w:line="267" w:lineRule="auto"/>
        <w:ind w:left="18" w:right="0" w:hanging="10"/>
        <w:jc w:val="left"/>
      </w:pPr>
      <w:r>
        <w:rPr>
          <w:b/>
        </w:rPr>
        <w:t xml:space="preserve">Žadatelé, jejichž žádosti o poskytnutí podpory splní požadavky administrativní kontroly, postoupí k věcnému hodnocení.  </w:t>
      </w:r>
    </w:p>
    <w:p w14:paraId="4EC0A94F" w14:textId="77777777" w:rsidR="00C80598" w:rsidRDefault="00EA2224">
      <w:pPr>
        <w:spacing w:after="88" w:line="259" w:lineRule="auto"/>
        <w:ind w:left="20" w:right="0" w:firstLine="0"/>
        <w:jc w:val="left"/>
      </w:pPr>
      <w:r>
        <w:rPr>
          <w:b/>
        </w:rPr>
        <w:t xml:space="preserve"> </w:t>
      </w:r>
    </w:p>
    <w:p w14:paraId="502C2A38" w14:textId="77777777" w:rsidR="00C80598" w:rsidRDefault="00EA2224">
      <w:pPr>
        <w:numPr>
          <w:ilvl w:val="0"/>
          <w:numId w:val="3"/>
        </w:numPr>
        <w:ind w:right="26" w:hanging="360"/>
      </w:pPr>
      <w:r>
        <w:rPr>
          <w:b/>
        </w:rPr>
        <w:t xml:space="preserve">Věcná </w:t>
      </w:r>
      <w:proofErr w:type="gramStart"/>
      <w:r>
        <w:rPr>
          <w:b/>
        </w:rPr>
        <w:t>kontrola</w:t>
      </w:r>
      <w:r>
        <w:t xml:space="preserve">  -</w:t>
      </w:r>
      <w:proofErr w:type="gramEnd"/>
      <w:r>
        <w:t xml:space="preserve"> obsahem hodnocení je: </w:t>
      </w:r>
    </w:p>
    <w:p w14:paraId="495C7D1C" w14:textId="77777777" w:rsidR="00C80598" w:rsidRDefault="00EA2224">
      <w:pPr>
        <w:numPr>
          <w:ilvl w:val="1"/>
          <w:numId w:val="3"/>
        </w:numPr>
        <w:ind w:right="26" w:hanging="360"/>
      </w:pPr>
      <w:r>
        <w:t xml:space="preserve">Obsah žádosti je v dostatečném a srozumitelném rozsahu; </w:t>
      </w:r>
    </w:p>
    <w:p w14:paraId="7C38820C" w14:textId="77777777" w:rsidR="00C80598" w:rsidRDefault="00EA2224">
      <w:pPr>
        <w:numPr>
          <w:ilvl w:val="1"/>
          <w:numId w:val="3"/>
        </w:numPr>
        <w:ind w:right="26" w:hanging="360"/>
      </w:pPr>
      <w:r>
        <w:t xml:space="preserve">Obsah žádosti je v souladu s cílem programu; </w:t>
      </w:r>
    </w:p>
    <w:p w14:paraId="1EE1EF43" w14:textId="77777777" w:rsidR="00C80598" w:rsidRDefault="00EA2224">
      <w:pPr>
        <w:numPr>
          <w:ilvl w:val="1"/>
          <w:numId w:val="3"/>
        </w:numPr>
        <w:ind w:right="26" w:hanging="360"/>
      </w:pPr>
      <w:r>
        <w:t xml:space="preserve">Poskytované zvýhodněné služby jsou v souladu se stanovenými aktivitami projektu; </w:t>
      </w:r>
    </w:p>
    <w:p w14:paraId="5CA49C34" w14:textId="1E798765" w:rsidR="00C80598" w:rsidRDefault="00EA2224">
      <w:pPr>
        <w:numPr>
          <w:ilvl w:val="1"/>
          <w:numId w:val="3"/>
        </w:numPr>
        <w:ind w:right="26" w:hanging="360"/>
      </w:pPr>
      <w:r>
        <w:t xml:space="preserve">Služba, která je předmětem žádosti, je potřebná k </w:t>
      </w:r>
      <w:r w:rsidR="00BC3F0F">
        <w:t>rozvojový</w:t>
      </w:r>
      <w:r>
        <w:t xml:space="preserve">m aktivitám žadatele:  </w:t>
      </w:r>
    </w:p>
    <w:p w14:paraId="32095FF1" w14:textId="77777777" w:rsidR="00C80598" w:rsidRDefault="00EA2224">
      <w:pPr>
        <w:numPr>
          <w:ilvl w:val="2"/>
          <w:numId w:val="3"/>
        </w:numPr>
        <w:spacing w:after="21"/>
        <w:ind w:right="26" w:hanging="360"/>
      </w:pPr>
      <w:r>
        <w:t xml:space="preserve">žadatel není z různých důvodů schopen vyřešit projekt samostatně (kontroluje se projektový záměr žadatele), </w:t>
      </w:r>
    </w:p>
    <w:p w14:paraId="2CB26D5B" w14:textId="29721409" w:rsidR="00C80598" w:rsidRDefault="00EA2224">
      <w:pPr>
        <w:numPr>
          <w:ilvl w:val="2"/>
          <w:numId w:val="3"/>
        </w:numPr>
        <w:spacing w:after="21"/>
        <w:ind w:right="26" w:hanging="360"/>
      </w:pPr>
      <w:r>
        <w:t>výstup / výsledek projektu</w:t>
      </w:r>
      <w:r w:rsidR="00BC3F0F">
        <w:t xml:space="preserve">, </w:t>
      </w:r>
      <w:r>
        <w:t xml:space="preserve">produkt nebo proces jsou v souladu s oblastí podnikání, pro kterou bude využito požadovaných služeb založených na znalostech, </w:t>
      </w:r>
    </w:p>
    <w:p w14:paraId="4CF1518B" w14:textId="77777777" w:rsidR="00733BED" w:rsidRDefault="00733BED">
      <w:pPr>
        <w:ind w:left="15" w:right="26"/>
      </w:pPr>
    </w:p>
    <w:p w14:paraId="0312806B" w14:textId="58538F41" w:rsidR="00C80598" w:rsidRDefault="00EA2224">
      <w:pPr>
        <w:ind w:left="15" w:right="26"/>
      </w:pPr>
      <w:r>
        <w:rPr>
          <w:b/>
        </w:rPr>
        <w:t>Žadatelé, jejichž žádosti nesplní některý z bodů věcné kontroly, budou z dalšího procesu vyloučeni</w:t>
      </w:r>
      <w:r>
        <w:t xml:space="preserve"> (tj. jejich žádosti budou zamítnuty). O této skutečnosti budou žadatelé informováni. </w:t>
      </w:r>
      <w:r w:rsidR="00E31903">
        <w:t>Poskytovatel dotace</w:t>
      </w:r>
      <w:r>
        <w:t xml:space="preserve"> může žadatele vyzvat k doplnění údajů uvedených v žádosti. </w:t>
      </w:r>
    </w:p>
    <w:p w14:paraId="77D53C45" w14:textId="77777777" w:rsidR="00C80598" w:rsidRDefault="00EA2224">
      <w:pPr>
        <w:spacing w:after="110" w:line="259" w:lineRule="auto"/>
        <w:ind w:left="20" w:right="0" w:firstLine="0"/>
        <w:jc w:val="left"/>
      </w:pPr>
      <w:r>
        <w:t xml:space="preserve"> </w:t>
      </w:r>
    </w:p>
    <w:p w14:paraId="4A761423" w14:textId="77777777" w:rsidR="00C80598" w:rsidRDefault="00EA2224" w:rsidP="00E64566">
      <w:pPr>
        <w:pStyle w:val="Nadpis1"/>
        <w:shd w:val="clear" w:color="auto" w:fill="C00000"/>
        <w:spacing w:after="172"/>
        <w:ind w:left="15" w:right="0"/>
      </w:pPr>
      <w:r>
        <w:t xml:space="preserve">7. Výběr příjemců, vydání Rozhodnutí o poskytnutí zvýhodněné služby, uzavření Smlouvy </w:t>
      </w:r>
    </w:p>
    <w:p w14:paraId="2DFE196F" w14:textId="7E3E3875" w:rsidR="00C80598" w:rsidRDefault="00EA2224" w:rsidP="00C926AC">
      <w:pPr>
        <w:ind w:left="15" w:right="26"/>
      </w:pPr>
      <w:r>
        <w:t xml:space="preserve">K podpoře </w:t>
      </w:r>
      <w:proofErr w:type="gramStart"/>
      <w:r>
        <w:t>doporučí</w:t>
      </w:r>
      <w:proofErr w:type="gramEnd"/>
      <w:r>
        <w:t xml:space="preserve"> </w:t>
      </w:r>
      <w:r w:rsidR="00C926AC">
        <w:t>výběrová</w:t>
      </w:r>
      <w:r>
        <w:t xml:space="preserve"> komise pouze ty žadatele, kteří splnili požadavky formální a věcné kontroly</w:t>
      </w:r>
      <w:r w:rsidR="00C926AC">
        <w:t xml:space="preserve">. Ke každé žádosti výběrová komise přijme </w:t>
      </w:r>
      <w:r>
        <w:t xml:space="preserve">stanovisko </w:t>
      </w:r>
      <w:r>
        <w:rPr>
          <w:b/>
        </w:rPr>
        <w:t>„Doporučeno k poskytnutí podpory: ANO/NE“</w:t>
      </w:r>
      <w:r w:rsidR="00C926AC">
        <w:t>.</w:t>
      </w:r>
      <w:r w:rsidRPr="00845EA4">
        <w:rPr>
          <w:color w:val="auto"/>
        </w:rPr>
        <w:t xml:space="preserve"> </w:t>
      </w:r>
      <w:r w:rsidR="00733BED">
        <w:rPr>
          <w:color w:val="auto"/>
        </w:rPr>
        <w:t>Výběrová komise TC HK</w:t>
      </w:r>
      <w:r w:rsidR="003B459F" w:rsidRPr="00845EA4">
        <w:rPr>
          <w:color w:val="auto"/>
        </w:rPr>
        <w:t xml:space="preserve"> </w:t>
      </w:r>
      <w:r w:rsidR="00C926AC">
        <w:t xml:space="preserve">následně </w:t>
      </w:r>
      <w:proofErr w:type="gramStart"/>
      <w:r w:rsidR="00733BED">
        <w:t>pověří</w:t>
      </w:r>
      <w:proofErr w:type="gramEnd"/>
      <w:r w:rsidR="00733BED">
        <w:t xml:space="preserve"> ředitele TCHK </w:t>
      </w:r>
      <w:r>
        <w:t>vydá</w:t>
      </w:r>
      <w:r w:rsidR="00733BED">
        <w:t>ním</w:t>
      </w:r>
      <w:r>
        <w:t xml:space="preserve"> </w:t>
      </w:r>
      <w:r>
        <w:rPr>
          <w:b/>
        </w:rPr>
        <w:t>Rozhodnutí o poskytnutí zvýhodněné služby</w:t>
      </w:r>
      <w:r>
        <w:t xml:space="preserve"> pro všechny úspěšné žadatele. </w:t>
      </w:r>
    </w:p>
    <w:p w14:paraId="0822876D" w14:textId="2BDD9630" w:rsidR="00C80598" w:rsidRDefault="00EA2224">
      <w:pPr>
        <w:ind w:left="15" w:right="26"/>
      </w:pPr>
      <w:r>
        <w:t>Seznam příjemců, včetně náhradníků, bude zveřejněn na webových</w:t>
      </w:r>
      <w:r w:rsidR="00BC3F0F">
        <w:t xml:space="preserve"> stránkách projektu</w:t>
      </w:r>
      <w:r w:rsidR="00BC3F0F" w:rsidRPr="00BC3F0F">
        <w:rPr>
          <w:color w:val="auto"/>
        </w:rPr>
        <w:t xml:space="preserve">. </w:t>
      </w:r>
      <w:r>
        <w:t xml:space="preserve">Zároveň budou všichni žadatelé o výsledku písemně informováni. </w:t>
      </w:r>
    </w:p>
    <w:p w14:paraId="2FB21ABE" w14:textId="77777777" w:rsidR="00C80598" w:rsidRDefault="00EA2224">
      <w:pPr>
        <w:spacing w:after="76" w:line="259" w:lineRule="auto"/>
        <w:ind w:left="23" w:right="0" w:firstLine="0"/>
        <w:jc w:val="left"/>
      </w:pPr>
      <w:r>
        <w:rPr>
          <w:b/>
        </w:rPr>
        <w:t xml:space="preserve"> </w:t>
      </w:r>
    </w:p>
    <w:p w14:paraId="5EB8C310" w14:textId="77777777" w:rsidR="00C80598" w:rsidRDefault="00EA2224">
      <w:pPr>
        <w:spacing w:line="267" w:lineRule="auto"/>
        <w:ind w:left="18" w:right="0" w:hanging="10"/>
        <w:jc w:val="left"/>
      </w:pPr>
      <w:r>
        <w:rPr>
          <w:b/>
        </w:rPr>
        <w:t>Uzavření Smlouvy</w:t>
      </w:r>
      <w:r>
        <w:t xml:space="preserve"> </w:t>
      </w:r>
      <w:r>
        <w:rPr>
          <w:b/>
        </w:rPr>
        <w:t>o poskytnutí zvýhodněné služby</w:t>
      </w:r>
      <w:r>
        <w:t xml:space="preserve"> </w:t>
      </w:r>
    </w:p>
    <w:p w14:paraId="7120270F" w14:textId="18777131" w:rsidR="00C80598" w:rsidRDefault="00EA2224">
      <w:pPr>
        <w:ind w:left="15" w:right="26"/>
      </w:pPr>
      <w:r>
        <w:t>Příjemce bude vyzván k uzavření Smlouvy o poskytnutí zvýhodněné služby</w:t>
      </w:r>
      <w:r w:rsidRPr="00733BED">
        <w:t>.</w:t>
      </w:r>
      <w:r>
        <w:t xml:space="preserve">  </w:t>
      </w:r>
    </w:p>
    <w:p w14:paraId="79875A04" w14:textId="77777777" w:rsidR="00C80598" w:rsidRDefault="00EA2224">
      <w:pPr>
        <w:ind w:left="15" w:right="26"/>
      </w:pPr>
      <w:r>
        <w:t xml:space="preserve">Přílohou Smlouvy o poskytnutí zvýhodněné služby je Formulář žádosti a Nabídky poskytnutí zvýhodněných služeb. Předmět činností, termín realizace služby a cena uvedená ve Smlouvě bude v souladu s Nabídkou zvýhodněných služeb.  </w:t>
      </w:r>
    </w:p>
    <w:p w14:paraId="58953720" w14:textId="3408D7A4" w:rsidR="00C80598" w:rsidRDefault="00EA2224">
      <w:pPr>
        <w:spacing w:after="115" w:line="259" w:lineRule="auto"/>
        <w:ind w:left="23" w:right="0" w:firstLine="0"/>
        <w:jc w:val="left"/>
      </w:pPr>
      <w:r>
        <w:t xml:space="preserve"> </w:t>
      </w:r>
    </w:p>
    <w:p w14:paraId="52458139" w14:textId="4F7B4EF5" w:rsidR="00C926AC" w:rsidRDefault="00C926AC">
      <w:pPr>
        <w:spacing w:after="115" w:line="259" w:lineRule="auto"/>
        <w:ind w:left="23" w:right="0" w:firstLine="0"/>
        <w:jc w:val="left"/>
      </w:pPr>
    </w:p>
    <w:p w14:paraId="4890F262" w14:textId="77777777" w:rsidR="00C926AC" w:rsidRDefault="00C926AC">
      <w:pPr>
        <w:spacing w:after="115" w:line="259" w:lineRule="auto"/>
        <w:ind w:left="23" w:right="0" w:firstLine="0"/>
        <w:jc w:val="left"/>
      </w:pPr>
    </w:p>
    <w:p w14:paraId="6F70A136" w14:textId="77777777" w:rsidR="00C80598" w:rsidRDefault="00EA2224" w:rsidP="003B459F">
      <w:pPr>
        <w:pStyle w:val="Nadpis1"/>
        <w:shd w:val="clear" w:color="auto" w:fill="C00000"/>
        <w:spacing w:after="74"/>
        <w:ind w:left="15" w:right="0"/>
      </w:pPr>
      <w:r>
        <w:lastRenderedPageBreak/>
        <w:t xml:space="preserve">8. Další postup po vydání Rozhodnutí </w:t>
      </w:r>
    </w:p>
    <w:p w14:paraId="4EE5859C" w14:textId="77777777" w:rsidR="00C80598" w:rsidRDefault="00EA2224">
      <w:pPr>
        <w:numPr>
          <w:ilvl w:val="0"/>
          <w:numId w:val="4"/>
        </w:numPr>
        <w:spacing w:after="0" w:line="267" w:lineRule="auto"/>
        <w:ind w:right="26" w:hanging="360"/>
      </w:pPr>
      <w:r>
        <w:rPr>
          <w:b/>
        </w:rPr>
        <w:t>Zveřejnění uzavřené Smlouvy v registru smluv</w:t>
      </w:r>
      <w:r>
        <w:t xml:space="preserve"> – provede poskytovatel podpory. </w:t>
      </w:r>
    </w:p>
    <w:p w14:paraId="56438837" w14:textId="77777777" w:rsidR="00C80598" w:rsidRDefault="00EA2224">
      <w:pPr>
        <w:spacing w:after="36" w:line="259" w:lineRule="auto"/>
        <w:ind w:left="23" w:right="0" w:firstLine="0"/>
        <w:jc w:val="left"/>
      </w:pPr>
      <w:r>
        <w:t xml:space="preserve"> </w:t>
      </w:r>
    </w:p>
    <w:p w14:paraId="77CD77F3" w14:textId="77777777" w:rsidR="00C80598" w:rsidRDefault="00EA2224">
      <w:pPr>
        <w:numPr>
          <w:ilvl w:val="0"/>
          <w:numId w:val="4"/>
        </w:numPr>
        <w:spacing w:after="7" w:line="267" w:lineRule="auto"/>
        <w:ind w:right="26" w:hanging="360"/>
      </w:pPr>
      <w:r>
        <w:rPr>
          <w:b/>
        </w:rPr>
        <w:t xml:space="preserve">Zápis veřejné podpory do Centrálního registru podpor malého rozsahu (de minimis) – </w:t>
      </w:r>
      <w:r>
        <w:t>provede poskytovatel podpory</w:t>
      </w:r>
      <w:r>
        <w:rPr>
          <w:b/>
        </w:rPr>
        <w:t xml:space="preserve"> </w:t>
      </w:r>
      <w:r>
        <w:t xml:space="preserve">do pěti pracovních dní po uzavření Smlouvy. </w:t>
      </w:r>
    </w:p>
    <w:p w14:paraId="207F9A8B" w14:textId="77777777" w:rsidR="00C80598" w:rsidRDefault="00EA2224">
      <w:pPr>
        <w:spacing w:after="60" w:line="259" w:lineRule="auto"/>
        <w:ind w:left="720" w:right="0" w:firstLine="0"/>
        <w:jc w:val="left"/>
      </w:pPr>
      <w:r>
        <w:t xml:space="preserve"> </w:t>
      </w:r>
    </w:p>
    <w:p w14:paraId="5A588450" w14:textId="48CD5E06" w:rsidR="00C80598" w:rsidRDefault="00EA2224">
      <w:pPr>
        <w:numPr>
          <w:ilvl w:val="0"/>
          <w:numId w:val="4"/>
        </w:numPr>
        <w:spacing w:after="4"/>
        <w:ind w:right="26" w:hanging="360"/>
      </w:pPr>
      <w:r>
        <w:rPr>
          <w:b/>
        </w:rPr>
        <w:t xml:space="preserve">Poskytovatel podpory vystaví příjemci fakturu </w:t>
      </w:r>
      <w:r>
        <w:t>s uvedením skutečné hodnoty služby a zároveň s uvedením poskytnutého cenového zvýhodnění výši ve výši 75% hodnoty služby</w:t>
      </w:r>
      <w:r w:rsidR="00BC3F0F">
        <w:t xml:space="preserve">. Cenové zvýhodnění </w:t>
      </w:r>
      <w:proofErr w:type="spellStart"/>
      <w:r w:rsidR="00BC3F0F">
        <w:t>mude</w:t>
      </w:r>
      <w:proofErr w:type="spellEnd"/>
      <w:r w:rsidR="00BC3F0F">
        <w:t xml:space="preserve"> činit </w:t>
      </w:r>
      <w:r>
        <w:t xml:space="preserve">maximálně </w:t>
      </w:r>
      <w:r w:rsidR="00BC3F0F">
        <w:rPr>
          <w:color w:val="auto"/>
        </w:rPr>
        <w:t>179 388</w:t>
      </w:r>
      <w:r w:rsidR="00733BED" w:rsidRPr="00733BED">
        <w:rPr>
          <w:color w:val="auto"/>
        </w:rPr>
        <w:t xml:space="preserve"> Kč </w:t>
      </w:r>
      <w:r w:rsidRPr="00733BED">
        <w:t>bez DPH.</w:t>
      </w:r>
      <w:r>
        <w:t xml:space="preserve"> K fakturované částce bude připočteno DPH z celé částky poskytované služby (pozn.: z titulu DPH jde o dotaci k ceně podle §4 zákona o DPH). </w:t>
      </w:r>
    </w:p>
    <w:p w14:paraId="10D8C549" w14:textId="77777777" w:rsidR="00C80598" w:rsidRDefault="00EA2224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9806" w:type="dxa"/>
        <w:tblInd w:w="-29" w:type="dxa"/>
        <w:tblCellMar>
          <w:top w:w="35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409"/>
        <w:gridCol w:w="9397"/>
      </w:tblGrid>
      <w:tr w:rsidR="00C80598" w14:paraId="21F72AE8" w14:textId="77777777" w:rsidTr="003B459F">
        <w:trPr>
          <w:trHeight w:val="29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7153B4A" w14:textId="77777777" w:rsidR="00C80598" w:rsidRDefault="00EA22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9. </w:t>
            </w:r>
          </w:p>
        </w:tc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4906172" w14:textId="77777777" w:rsidR="00C80598" w:rsidRDefault="00EA2224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color w:val="FFFFFF"/>
              </w:rPr>
              <w:t xml:space="preserve">Realizace a předání expertní poradenské služby </w:t>
            </w:r>
          </w:p>
        </w:tc>
      </w:tr>
    </w:tbl>
    <w:p w14:paraId="2235CD9D" w14:textId="2C3533F9" w:rsidR="00C80598" w:rsidRDefault="00EA2224">
      <w:pPr>
        <w:numPr>
          <w:ilvl w:val="0"/>
          <w:numId w:val="4"/>
        </w:numPr>
        <w:spacing w:after="26"/>
        <w:ind w:right="26" w:hanging="360"/>
      </w:pPr>
      <w:r>
        <w:rPr>
          <w:b/>
        </w:rPr>
        <w:t>Realizace</w:t>
      </w:r>
      <w:r>
        <w:t xml:space="preserve"> – v průběhu realizace je povinen příjemce poskytovat potřebnou součinnost poskytovateli služby tak, aby mohly být ve stanovených termínech naplňovány aktivity definované v Nabídce zvýhodněných expertních služeb. </w:t>
      </w:r>
    </w:p>
    <w:p w14:paraId="1017AE87" w14:textId="77777777" w:rsidR="008D6333" w:rsidRDefault="008D6333" w:rsidP="008D6333">
      <w:pPr>
        <w:spacing w:after="26"/>
        <w:ind w:left="368" w:right="26" w:firstLine="0"/>
      </w:pPr>
    </w:p>
    <w:p w14:paraId="051DD6E2" w14:textId="0B81E67D" w:rsidR="00C80598" w:rsidRDefault="00EA2224">
      <w:pPr>
        <w:numPr>
          <w:ilvl w:val="0"/>
          <w:numId w:val="4"/>
        </w:numPr>
        <w:spacing w:after="88"/>
        <w:ind w:right="26" w:hanging="360"/>
      </w:pPr>
      <w:r>
        <w:rPr>
          <w:b/>
        </w:rPr>
        <w:t>Předání výstupů</w:t>
      </w:r>
      <w:r w:rsidR="008D6333">
        <w:rPr>
          <w:b/>
        </w:rPr>
        <w:t xml:space="preserve"> a ukončení služby</w:t>
      </w:r>
      <w:r>
        <w:t xml:space="preserve"> – výstupy poskytované služby budou předány na základě předávacího protokolu mezi příjemcem a poskytovatelem zvýhodněné expertní služby, který prokazuje, že poskytnuté služby byly realizovány řádně a bez vad a nedodělků dle zadání, resp. v souladu se Smlouvou, a že příjemce přebral výsledky. </w:t>
      </w:r>
      <w:r w:rsidR="008D6333">
        <w:t>V případě konzultací příjemce služby svým podpisem stvrdí ucelený výpis všech realizovaných konzultací, které mu byly v rámci plnění služby poskytnuty.</w:t>
      </w:r>
    </w:p>
    <w:p w14:paraId="173E7220" w14:textId="536603EA" w:rsidR="00C80598" w:rsidRDefault="00C80598" w:rsidP="008D6333">
      <w:pPr>
        <w:spacing w:after="143" w:line="259" w:lineRule="auto"/>
        <w:ind w:left="0" w:right="0" w:firstLine="0"/>
        <w:jc w:val="left"/>
      </w:pPr>
    </w:p>
    <w:p w14:paraId="51ACF4DD" w14:textId="77777777" w:rsidR="00C80598" w:rsidRDefault="00EA2224" w:rsidP="003B459F">
      <w:pPr>
        <w:pStyle w:val="Nadpis1"/>
        <w:shd w:val="clear" w:color="auto" w:fill="C00000"/>
        <w:ind w:left="15" w:right="0"/>
      </w:pPr>
      <w:r>
        <w:t xml:space="preserve">10. Ostatní podmínky programu </w:t>
      </w:r>
    </w:p>
    <w:p w14:paraId="733AA7CF" w14:textId="77777777" w:rsidR="00C80598" w:rsidRDefault="00EA2224">
      <w:pPr>
        <w:numPr>
          <w:ilvl w:val="0"/>
          <w:numId w:val="5"/>
        </w:numPr>
        <w:spacing w:after="26"/>
        <w:ind w:right="26" w:hanging="360"/>
      </w:pPr>
      <w:r>
        <w:t xml:space="preserve">Na poskytnutí zvýhodněné expertní služby není právní nárok. O konečné výši nabídkové ceny rozhoduje poskytovatel zvýhodněné služby. </w:t>
      </w:r>
    </w:p>
    <w:p w14:paraId="2C44B520" w14:textId="77777777" w:rsidR="00C80598" w:rsidRDefault="00EA2224">
      <w:pPr>
        <w:numPr>
          <w:ilvl w:val="0"/>
          <w:numId w:val="5"/>
        </w:numPr>
        <w:spacing w:after="26"/>
        <w:ind w:right="26" w:hanging="360"/>
      </w:pPr>
      <w:r>
        <w:t xml:space="preserve">Poskytovatel zvýhodněné služby si vyhrazuje právo ověřit u třetích osob informace uvedené žadatelem / příjemcem. </w:t>
      </w:r>
    </w:p>
    <w:p w14:paraId="62E54917" w14:textId="77777777" w:rsidR="00C80598" w:rsidRDefault="00EA2224">
      <w:pPr>
        <w:numPr>
          <w:ilvl w:val="0"/>
          <w:numId w:val="5"/>
        </w:numPr>
        <w:spacing w:after="0"/>
        <w:ind w:right="26" w:hanging="360"/>
      </w:pPr>
      <w:r>
        <w:t xml:space="preserve">Poskytovatel zvýhodněné služby si </w:t>
      </w:r>
      <w:r w:rsidRPr="00AD693E">
        <w:t>vyhrazuje</w:t>
      </w:r>
      <w:r>
        <w:t xml:space="preserve"> právo na změnu podmínek programu. </w:t>
      </w:r>
    </w:p>
    <w:p w14:paraId="1131E79A" w14:textId="5E943958" w:rsidR="00C80598" w:rsidRDefault="00EA2224">
      <w:pPr>
        <w:numPr>
          <w:ilvl w:val="0"/>
          <w:numId w:val="5"/>
        </w:numPr>
        <w:spacing w:after="0"/>
        <w:ind w:right="26" w:hanging="360"/>
      </w:pPr>
      <w:r>
        <w:t>Každý žadatel je oprávněn předložit do programu</w:t>
      </w:r>
      <w:r w:rsidR="00831D89" w:rsidRPr="00AD693E">
        <w:rPr>
          <w:color w:val="000000" w:themeColor="text1"/>
        </w:rPr>
        <w:t xml:space="preserve"> </w:t>
      </w:r>
      <w:r w:rsidR="00831D89" w:rsidRPr="00733BED">
        <w:rPr>
          <w:color w:val="auto"/>
        </w:rPr>
        <w:t>Operační program Podnikání</w:t>
      </w:r>
      <w:r w:rsidR="003B459F" w:rsidRPr="00733BED">
        <w:rPr>
          <w:color w:val="auto"/>
        </w:rPr>
        <w:t xml:space="preserve"> a inovace pro konkurenceschopnost </w:t>
      </w:r>
      <w:r w:rsidRPr="00733BED">
        <w:rPr>
          <w:color w:val="auto"/>
        </w:rPr>
        <w:t>pouze</w:t>
      </w:r>
      <w:r w:rsidRPr="00845EA4">
        <w:rPr>
          <w:color w:val="auto"/>
        </w:rPr>
        <w:t xml:space="preserve"> </w:t>
      </w:r>
      <w:r w:rsidRPr="00AD693E">
        <w:rPr>
          <w:color w:val="000000" w:themeColor="text1"/>
        </w:rPr>
        <w:t xml:space="preserve">1 žádost. </w:t>
      </w:r>
    </w:p>
    <w:p w14:paraId="428EB62B" w14:textId="1B24689E" w:rsidR="00C80598" w:rsidRDefault="00EA2224">
      <w:pPr>
        <w:numPr>
          <w:ilvl w:val="0"/>
          <w:numId w:val="5"/>
        </w:numPr>
        <w:spacing w:after="26"/>
        <w:ind w:right="26" w:hanging="360"/>
      </w:pPr>
      <w:r>
        <w:t xml:space="preserve">Poskytnuté služby musí být v rozsahu přiložené nabídky poskytnuty a předány poskytovatelem nejpozději do </w:t>
      </w:r>
      <w:r w:rsidR="001944A1" w:rsidRPr="001944A1">
        <w:t>31</w:t>
      </w:r>
      <w:r w:rsidRPr="001944A1">
        <w:t xml:space="preserve">. </w:t>
      </w:r>
      <w:r w:rsidR="001944A1" w:rsidRPr="001944A1">
        <w:t>5</w:t>
      </w:r>
      <w:r w:rsidRPr="001944A1">
        <w:t>. 2023.</w:t>
      </w:r>
      <w:r>
        <w:t xml:space="preserve"> </w:t>
      </w:r>
    </w:p>
    <w:p w14:paraId="77EF6470" w14:textId="77777777" w:rsidR="00C80598" w:rsidRDefault="00EA2224">
      <w:pPr>
        <w:numPr>
          <w:ilvl w:val="0"/>
          <w:numId w:val="5"/>
        </w:numPr>
        <w:spacing w:after="26"/>
        <w:ind w:right="26" w:hanging="360"/>
      </w:pPr>
      <w:r>
        <w:t xml:space="preserve">Příjemce se zavazuje poskytnout součinnost při kontrole plnění a dodání objednaných služeb od poskytovatele dotace. </w:t>
      </w:r>
    </w:p>
    <w:p w14:paraId="35ED0E34" w14:textId="77777777" w:rsidR="00C80598" w:rsidRDefault="00EA2224">
      <w:pPr>
        <w:numPr>
          <w:ilvl w:val="0"/>
          <w:numId w:val="5"/>
        </w:numPr>
        <w:spacing w:after="26"/>
        <w:ind w:right="26" w:hanging="360"/>
      </w:pPr>
      <w:r>
        <w:t xml:space="preserve">Cenové zvýhodnění je poskytováno jako veřejná podpora v režimu de minimis (ve smyslu Nařízení Evropské komise č.1407/2013 a č.1408/2013, o použití článků 107 a 108 Smlouvy na podporu de minimis, ze dne 18. 12. 2013 a Nařízení Evropské komise č.717/2014 ze dne 24. června 2014 o použití článků 107 a 108 Smlouvy). </w:t>
      </w:r>
    </w:p>
    <w:p w14:paraId="6246C1EC" w14:textId="7504B24B" w:rsidR="00C80598" w:rsidRDefault="00EA2224">
      <w:pPr>
        <w:numPr>
          <w:ilvl w:val="0"/>
          <w:numId w:val="5"/>
        </w:numPr>
        <w:spacing w:after="25"/>
        <w:ind w:right="26" w:hanging="360"/>
      </w:pPr>
      <w:r>
        <w:t xml:space="preserve">Tento program je v souladu s podmínkami programu Služby infrastruktury v OP PIK, ze kterého </w:t>
      </w:r>
      <w:r w:rsidR="00831D89">
        <w:t>TECHNOLOGICKÉ CENTRUM Hradec Králové z.ú.</w:t>
      </w:r>
      <w:r>
        <w:t xml:space="preserve"> obdržel</w:t>
      </w:r>
      <w:r w:rsidR="001944A1">
        <w:t>o</w:t>
      </w:r>
      <w:r>
        <w:t xml:space="preserve"> podporu na realizaci </w:t>
      </w:r>
      <w:proofErr w:type="gramStart"/>
      <w:r>
        <w:t xml:space="preserve">projektu </w:t>
      </w:r>
      <w:r w:rsidR="00831D89">
        <w:t>,,</w:t>
      </w:r>
      <w:r w:rsidR="00831D89" w:rsidRPr="00246D52">
        <w:t>Poskytování</w:t>
      </w:r>
      <w:proofErr w:type="gramEnd"/>
      <w:r w:rsidR="00831D89" w:rsidRPr="00246D52">
        <w:t xml:space="preserve"> expertních služeb pro MSP“</w:t>
      </w:r>
      <w:r w:rsidRPr="00246D52">
        <w:t xml:space="preserve"> </w:t>
      </w:r>
    </w:p>
    <w:p w14:paraId="4F8A5D31" w14:textId="77777777" w:rsidR="00C80598" w:rsidRDefault="00EA2224">
      <w:pPr>
        <w:numPr>
          <w:ilvl w:val="0"/>
          <w:numId w:val="5"/>
        </w:numPr>
        <w:spacing w:after="0"/>
        <w:ind w:right="26" w:hanging="360"/>
      </w:pPr>
      <w:r>
        <w:lastRenderedPageBreak/>
        <w:t xml:space="preserve">Maximální doba trvání jednoho projektu je </w:t>
      </w:r>
      <w:r w:rsidRPr="001944A1">
        <w:t>6 měsíců.</w:t>
      </w:r>
      <w:r>
        <w:t xml:space="preserve"> </w:t>
      </w:r>
    </w:p>
    <w:p w14:paraId="0A25EE35" w14:textId="5E4E9177" w:rsidR="00C80598" w:rsidRDefault="00EA2224">
      <w:pPr>
        <w:numPr>
          <w:ilvl w:val="0"/>
          <w:numId w:val="5"/>
        </w:numPr>
        <w:ind w:right="26" w:hanging="360"/>
      </w:pPr>
      <w:r>
        <w:t xml:space="preserve">Maximální počet hodin poskytnutého zvýhodněného poradenství je daný maximální výší cenového zvýhodnění, které činí </w:t>
      </w:r>
      <w:r w:rsidR="001944A1" w:rsidRPr="001944A1">
        <w:t>239 796</w:t>
      </w:r>
      <w:r w:rsidRPr="001944A1">
        <w:t xml:space="preserve"> Kč</w:t>
      </w:r>
      <w:r>
        <w:t xml:space="preserve">, tj. při hodinové sazbě experta </w:t>
      </w:r>
      <w:r w:rsidRPr="001944A1">
        <w:t>1</w:t>
      </w:r>
      <w:r w:rsidR="001944A1" w:rsidRPr="001944A1">
        <w:t> 494,90</w:t>
      </w:r>
      <w:r w:rsidRPr="001944A1">
        <w:t xml:space="preserve"> Kč</w:t>
      </w:r>
      <w:r>
        <w:t xml:space="preserve"> maximálně </w:t>
      </w:r>
      <w:r w:rsidR="00246D52" w:rsidRPr="001944A1">
        <w:t>160</w:t>
      </w:r>
      <w:r w:rsidRPr="001944A1">
        <w:t xml:space="preserve"> hodin.</w:t>
      </w:r>
      <w:r>
        <w:t xml:space="preserve"> Pokud bude do poradenského týmu zařazen juniorní poradce s nižší hodinovou sazbou, může počet hodin překročit stanovený limit při zachování výše uvedeného maximálního cenového zvýhodnění. </w:t>
      </w:r>
    </w:p>
    <w:p w14:paraId="6C300CB7" w14:textId="77777777" w:rsidR="00C80598" w:rsidRDefault="00EA2224">
      <w:pPr>
        <w:spacing w:after="71" w:line="259" w:lineRule="auto"/>
        <w:ind w:left="23" w:right="0" w:firstLine="0"/>
        <w:jc w:val="left"/>
      </w:pPr>
      <w:r>
        <w:t xml:space="preserve"> </w:t>
      </w:r>
    </w:p>
    <w:p w14:paraId="4236D459" w14:textId="1575B329" w:rsidR="00BC3F0F" w:rsidRPr="00BC3F0F" w:rsidRDefault="00EA2224" w:rsidP="00BC3F0F">
      <w:pPr>
        <w:spacing w:after="4"/>
        <w:ind w:left="15" w:right="26"/>
        <w:rPr>
          <w:color w:val="3A89C1"/>
          <w:u w:val="single" w:color="3A89C1"/>
        </w:rPr>
      </w:pPr>
      <w:r>
        <w:t xml:space="preserve">Dotazy týkající se </w:t>
      </w:r>
      <w:r w:rsidRPr="001944A1">
        <w:t xml:space="preserve">programu </w:t>
      </w:r>
      <w:r w:rsidR="001944A1" w:rsidRPr="001944A1">
        <w:rPr>
          <w:b/>
          <w:bCs/>
          <w:color w:val="212529"/>
        </w:rPr>
        <w:t>Poskytování expertních služeb pro MSP</w:t>
      </w:r>
      <w:r w:rsidR="001944A1">
        <w:t xml:space="preserve"> </w:t>
      </w:r>
      <w:r>
        <w:t>vyřizuje poskytovatel zvýhodněné služby, email</w:t>
      </w:r>
      <w:r w:rsidRPr="00BC3F0F">
        <w:rPr>
          <w:color w:val="auto"/>
        </w:rPr>
        <w:t xml:space="preserve">: </w:t>
      </w:r>
      <w:hyperlink r:id="rId10" w:history="1">
        <w:r w:rsidR="00BC3F0F" w:rsidRPr="00BC3F0F">
          <w:rPr>
            <w:rStyle w:val="Hypertextovodkaz"/>
            <w:color w:val="auto"/>
            <w:u w:val="none"/>
          </w:rPr>
          <w:t>marie.novotna@tchk.cz</w:t>
        </w:r>
      </w:hyperlink>
      <w:r w:rsidR="00BC3F0F">
        <w:rPr>
          <w:color w:val="3A89C1"/>
          <w:u w:val="single" w:color="3A89C1"/>
        </w:rPr>
        <w:t xml:space="preserve"> </w:t>
      </w:r>
      <w:r>
        <w:t xml:space="preserve">nebo tel.: </w:t>
      </w:r>
      <w:r w:rsidRPr="00BC3F0F">
        <w:t>+</w:t>
      </w:r>
      <w:r w:rsidRPr="00BC3F0F">
        <w:rPr>
          <w:color w:val="auto"/>
        </w:rPr>
        <w:t xml:space="preserve">420 </w:t>
      </w:r>
      <w:r w:rsidR="00BC3F0F" w:rsidRPr="00BC3F0F">
        <w:rPr>
          <w:rFonts w:eastAsia="Times New Roman"/>
          <w:color w:val="auto"/>
          <w:shd w:val="clear" w:color="auto" w:fill="FFFFFF"/>
        </w:rPr>
        <w:t>720 991</w:t>
      </w:r>
      <w:r w:rsidR="00BC3F0F">
        <w:rPr>
          <w:rFonts w:eastAsia="Times New Roman"/>
          <w:color w:val="auto"/>
          <w:shd w:val="clear" w:color="auto" w:fill="FFFFFF"/>
        </w:rPr>
        <w:t> </w:t>
      </w:r>
      <w:r w:rsidR="00BC3F0F" w:rsidRPr="00BC3F0F">
        <w:rPr>
          <w:rFonts w:eastAsia="Times New Roman"/>
          <w:color w:val="auto"/>
          <w:shd w:val="clear" w:color="auto" w:fill="FFFFFF"/>
        </w:rPr>
        <w:t>449</w:t>
      </w:r>
      <w:r w:rsidR="00BC3F0F">
        <w:rPr>
          <w:rFonts w:eastAsia="Times New Roman"/>
          <w:color w:val="auto"/>
          <w:shd w:val="clear" w:color="auto" w:fill="FFFFFF"/>
        </w:rPr>
        <w:t>.</w:t>
      </w:r>
    </w:p>
    <w:p w14:paraId="0A64C1CB" w14:textId="4C7D27E2" w:rsidR="00C80598" w:rsidRDefault="00C80598">
      <w:pPr>
        <w:spacing w:after="4"/>
        <w:ind w:left="15" w:right="26"/>
      </w:pPr>
    </w:p>
    <w:p w14:paraId="566B3F38" w14:textId="77777777" w:rsidR="00C80598" w:rsidRDefault="00EA2224">
      <w:pPr>
        <w:spacing w:after="76" w:line="259" w:lineRule="auto"/>
        <w:ind w:left="20" w:right="0" w:firstLine="0"/>
        <w:jc w:val="left"/>
      </w:pPr>
      <w:r>
        <w:rPr>
          <w:i/>
        </w:rPr>
        <w:t xml:space="preserve"> </w:t>
      </w:r>
    </w:p>
    <w:p w14:paraId="44DB6FEC" w14:textId="62FD61D0" w:rsidR="00C80598" w:rsidRDefault="00C80598" w:rsidP="00BC3F0F">
      <w:pPr>
        <w:ind w:left="0" w:right="26" w:firstLine="0"/>
      </w:pPr>
    </w:p>
    <w:sectPr w:rsidR="00C805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680" w:right="1069" w:bottom="1481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280E" w14:textId="77777777" w:rsidR="00D37A7A" w:rsidRDefault="00D37A7A">
      <w:pPr>
        <w:spacing w:after="0" w:line="240" w:lineRule="auto"/>
      </w:pPr>
      <w:r>
        <w:separator/>
      </w:r>
    </w:p>
  </w:endnote>
  <w:endnote w:type="continuationSeparator" w:id="0">
    <w:p w14:paraId="5AAEC4BD" w14:textId="77777777" w:rsidR="00D37A7A" w:rsidRDefault="00D3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585A" w14:textId="77777777" w:rsidR="00C80598" w:rsidRDefault="00EA222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7E7E7E"/>
        <w:sz w:val="20"/>
      </w:rPr>
      <w:t>2</w:t>
    </w:r>
    <w:r>
      <w:rPr>
        <w:color w:val="7E7E7E"/>
        <w:sz w:val="20"/>
      </w:rPr>
      <w:fldChar w:fldCharType="end"/>
    </w:r>
    <w:r>
      <w:rPr>
        <w:color w:val="7E7E7E"/>
        <w:sz w:val="20"/>
      </w:rPr>
      <w:t xml:space="preserve"> </w:t>
    </w:r>
  </w:p>
  <w:p w14:paraId="618B6CF4" w14:textId="77777777" w:rsidR="00C80598" w:rsidRDefault="00EA222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4B0C" w14:textId="77777777" w:rsidR="00C80598" w:rsidRDefault="00EA222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7E7E7E"/>
        <w:sz w:val="20"/>
      </w:rPr>
      <w:t>2</w:t>
    </w:r>
    <w:r>
      <w:rPr>
        <w:color w:val="7E7E7E"/>
        <w:sz w:val="20"/>
      </w:rPr>
      <w:fldChar w:fldCharType="end"/>
    </w:r>
    <w:r>
      <w:rPr>
        <w:color w:val="7E7E7E"/>
        <w:sz w:val="20"/>
      </w:rPr>
      <w:t xml:space="preserve"> </w:t>
    </w:r>
  </w:p>
  <w:p w14:paraId="7532FE99" w14:textId="77777777" w:rsidR="00C80598" w:rsidRDefault="00EA222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2EE0" w14:textId="77777777" w:rsidR="00C80598" w:rsidRDefault="00C8059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A4BB" w14:textId="77777777" w:rsidR="00D37A7A" w:rsidRDefault="00D37A7A">
      <w:pPr>
        <w:spacing w:after="0" w:line="240" w:lineRule="auto"/>
      </w:pPr>
      <w:r>
        <w:separator/>
      </w:r>
    </w:p>
  </w:footnote>
  <w:footnote w:type="continuationSeparator" w:id="0">
    <w:p w14:paraId="24B29FE0" w14:textId="77777777" w:rsidR="00D37A7A" w:rsidRDefault="00D3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576D" w14:textId="77777777" w:rsidR="00C80598" w:rsidRDefault="00EA2224">
    <w:pPr>
      <w:spacing w:after="0" w:line="259" w:lineRule="auto"/>
      <w:ind w:left="3779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9888209" wp14:editId="54F157E7">
          <wp:simplePos x="0" y="0"/>
          <wp:positionH relativeFrom="page">
            <wp:posOffset>685800</wp:posOffset>
          </wp:positionH>
          <wp:positionV relativeFrom="page">
            <wp:posOffset>158186</wp:posOffset>
          </wp:positionV>
          <wp:extent cx="2313979" cy="697865"/>
          <wp:effectExtent l="0" t="0" r="0" b="0"/>
          <wp:wrapSquare wrapText="bothSides"/>
          <wp:docPr id="75" name="Picture 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3979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45D3CE09" w14:textId="77777777" w:rsidR="00C80598" w:rsidRDefault="00EA2224">
    <w:pPr>
      <w:spacing w:after="0" w:line="259" w:lineRule="auto"/>
      <w:ind w:left="3779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6993F626" w14:textId="77777777" w:rsidR="00C80598" w:rsidRDefault="00EA2224">
    <w:pPr>
      <w:tabs>
        <w:tab w:val="center" w:pos="3779"/>
        <w:tab w:val="center" w:pos="4536"/>
        <w:tab w:val="right" w:pos="975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Jihočeský vědeckotechnický park, a.s. </w:t>
    </w:r>
  </w:p>
  <w:p w14:paraId="6C570990" w14:textId="77777777" w:rsidR="00C80598" w:rsidRDefault="00EA2224">
    <w:pPr>
      <w:tabs>
        <w:tab w:val="center" w:pos="3779"/>
        <w:tab w:val="center" w:pos="4536"/>
        <w:tab w:val="right" w:pos="975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U Zimního stadionu 1952/2 </w:t>
    </w:r>
  </w:p>
  <w:p w14:paraId="6216B985" w14:textId="77777777" w:rsidR="00C80598" w:rsidRDefault="00EA2224">
    <w:pPr>
      <w:tabs>
        <w:tab w:val="center" w:pos="3779"/>
        <w:tab w:val="center" w:pos="4536"/>
        <w:tab w:val="right" w:pos="975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České Budějovice </w:t>
    </w:r>
  </w:p>
  <w:p w14:paraId="1CD805D9" w14:textId="77777777" w:rsidR="00C80598" w:rsidRDefault="00EA222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D49A" w14:textId="6DE37B72" w:rsidR="00C80598" w:rsidRDefault="00EA2224">
    <w:pPr>
      <w:spacing w:after="0" w:line="259" w:lineRule="auto"/>
      <w:ind w:left="3779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2AB8C4E7" w14:textId="4B03BAA7" w:rsidR="00C80598" w:rsidRDefault="0040708C">
    <w:pPr>
      <w:spacing w:after="0" w:line="259" w:lineRule="auto"/>
      <w:ind w:left="3779" w:right="0" w:firstLine="0"/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C4D246" wp14:editId="2D4CC658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695450" cy="6521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r="8108"/>
                  <a:stretch/>
                </pic:blipFill>
                <pic:spPr bwMode="auto">
                  <a:xfrm>
                    <a:off x="0" y="0"/>
                    <a:ext cx="16954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224">
      <w:rPr>
        <w:rFonts w:ascii="Calibri" w:eastAsia="Calibri" w:hAnsi="Calibri" w:cs="Calibri"/>
      </w:rPr>
      <w:t xml:space="preserve"> </w:t>
    </w:r>
  </w:p>
  <w:p w14:paraId="0D66AB29" w14:textId="4A018E4E" w:rsidR="00C80598" w:rsidRDefault="00EA2224">
    <w:pPr>
      <w:tabs>
        <w:tab w:val="center" w:pos="3779"/>
        <w:tab w:val="center" w:pos="4536"/>
        <w:tab w:val="right" w:pos="975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 w:rsidR="00AB2987">
      <w:rPr>
        <w:rFonts w:ascii="Calibri" w:eastAsia="Calibri" w:hAnsi="Calibri" w:cs="Calibri"/>
      </w:rPr>
      <w:t>TECHNOLOGICKÉ CENTRUM H.K. z.ú.</w:t>
    </w:r>
  </w:p>
  <w:p w14:paraId="36C1042F" w14:textId="363816AE" w:rsidR="00C80598" w:rsidRDefault="00EA2224">
    <w:pPr>
      <w:tabs>
        <w:tab w:val="center" w:pos="3779"/>
        <w:tab w:val="center" w:pos="4536"/>
        <w:tab w:val="right" w:pos="975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 w:rsidR="00AB2987">
      <w:rPr>
        <w:rFonts w:ascii="Calibri" w:eastAsia="Calibri" w:hAnsi="Calibri" w:cs="Calibri"/>
      </w:rPr>
      <w:t>Piletická 486</w:t>
    </w:r>
  </w:p>
  <w:p w14:paraId="25CA5312" w14:textId="4F7F98AE" w:rsidR="00C80598" w:rsidRDefault="00EA2224">
    <w:pPr>
      <w:tabs>
        <w:tab w:val="center" w:pos="3779"/>
        <w:tab w:val="center" w:pos="4536"/>
        <w:tab w:val="right" w:pos="975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 w:rsidR="00AB2987">
      <w:rPr>
        <w:rFonts w:ascii="Calibri" w:eastAsia="Calibri" w:hAnsi="Calibri" w:cs="Calibri"/>
      </w:rPr>
      <w:t>Hradec Králové</w:t>
    </w:r>
    <w:r>
      <w:rPr>
        <w:rFonts w:ascii="Calibri" w:eastAsia="Calibri" w:hAnsi="Calibri" w:cs="Calibri"/>
      </w:rPr>
      <w:t xml:space="preserve"> </w:t>
    </w:r>
  </w:p>
  <w:p w14:paraId="5DE1A4C4" w14:textId="77777777" w:rsidR="00C80598" w:rsidRDefault="00EA222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21AA" w14:textId="77777777" w:rsidR="00C80598" w:rsidRDefault="00C8059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271"/>
    <w:multiLevelType w:val="hybridMultilevel"/>
    <w:tmpl w:val="ABC8AFD0"/>
    <w:lvl w:ilvl="0" w:tplc="464E84B6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CAD0A">
      <w:start w:val="1"/>
      <w:numFmt w:val="bullet"/>
      <w:lvlText w:val="o"/>
      <w:lvlJc w:val="left"/>
      <w:pPr>
        <w:ind w:left="1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A905C">
      <w:start w:val="1"/>
      <w:numFmt w:val="bullet"/>
      <w:lvlText w:val="▪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D02BEC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07EEA">
      <w:start w:val="1"/>
      <w:numFmt w:val="bullet"/>
      <w:lvlText w:val="o"/>
      <w:lvlJc w:val="left"/>
      <w:pPr>
        <w:ind w:left="3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38B5B8">
      <w:start w:val="1"/>
      <w:numFmt w:val="bullet"/>
      <w:lvlText w:val="▪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B8E3C0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742A14">
      <w:start w:val="1"/>
      <w:numFmt w:val="bullet"/>
      <w:lvlText w:val="o"/>
      <w:lvlJc w:val="left"/>
      <w:pPr>
        <w:ind w:left="5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A776E">
      <w:start w:val="1"/>
      <w:numFmt w:val="bullet"/>
      <w:lvlText w:val="▪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82585"/>
    <w:multiLevelType w:val="hybridMultilevel"/>
    <w:tmpl w:val="614051B4"/>
    <w:lvl w:ilvl="0" w:tplc="E3084F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FD4"/>
    <w:multiLevelType w:val="hybridMultilevel"/>
    <w:tmpl w:val="E676C830"/>
    <w:lvl w:ilvl="0" w:tplc="958EFA16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E21D6">
      <w:start w:val="1"/>
      <w:numFmt w:val="bullet"/>
      <w:lvlText w:val="o"/>
      <w:lvlJc w:val="left"/>
      <w:pPr>
        <w:ind w:left="1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8EB958">
      <w:start w:val="1"/>
      <w:numFmt w:val="bullet"/>
      <w:lvlText w:val="▪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0EE6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4B70C">
      <w:start w:val="1"/>
      <w:numFmt w:val="bullet"/>
      <w:lvlText w:val="o"/>
      <w:lvlJc w:val="left"/>
      <w:pPr>
        <w:ind w:left="3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0FD9E">
      <w:start w:val="1"/>
      <w:numFmt w:val="bullet"/>
      <w:lvlText w:val="▪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05B66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6B1C0">
      <w:start w:val="1"/>
      <w:numFmt w:val="bullet"/>
      <w:lvlText w:val="o"/>
      <w:lvlJc w:val="left"/>
      <w:pPr>
        <w:ind w:left="5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022C8">
      <w:start w:val="1"/>
      <w:numFmt w:val="bullet"/>
      <w:lvlText w:val="▪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642A7"/>
    <w:multiLevelType w:val="multilevel"/>
    <w:tmpl w:val="AAA0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752F2"/>
    <w:multiLevelType w:val="hybridMultilevel"/>
    <w:tmpl w:val="C9C8B3AE"/>
    <w:lvl w:ilvl="0" w:tplc="AF82C2D4">
      <w:start w:val="1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18FF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DE4C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0287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622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662E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4650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5A15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562C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211797"/>
    <w:multiLevelType w:val="hybridMultilevel"/>
    <w:tmpl w:val="85EE91D6"/>
    <w:lvl w:ilvl="0" w:tplc="3D684E46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EE178">
      <w:start w:val="1"/>
      <w:numFmt w:val="bullet"/>
      <w:lvlText w:val="o"/>
      <w:lvlJc w:val="left"/>
      <w:pPr>
        <w:ind w:left="1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0CE12">
      <w:start w:val="1"/>
      <w:numFmt w:val="bullet"/>
      <w:lvlText w:val="▪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4289A">
      <w:start w:val="1"/>
      <w:numFmt w:val="bullet"/>
      <w:lvlText w:val="•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E1C98">
      <w:start w:val="1"/>
      <w:numFmt w:val="bullet"/>
      <w:lvlText w:val="o"/>
      <w:lvlJc w:val="left"/>
      <w:pPr>
        <w:ind w:left="3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44E66">
      <w:start w:val="1"/>
      <w:numFmt w:val="bullet"/>
      <w:lvlText w:val="▪"/>
      <w:lvlJc w:val="left"/>
      <w:pPr>
        <w:ind w:left="3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29FCE">
      <w:start w:val="1"/>
      <w:numFmt w:val="bullet"/>
      <w:lvlText w:val="•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6141C">
      <w:start w:val="1"/>
      <w:numFmt w:val="bullet"/>
      <w:lvlText w:val="o"/>
      <w:lvlJc w:val="left"/>
      <w:pPr>
        <w:ind w:left="5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870F0">
      <w:start w:val="1"/>
      <w:numFmt w:val="bullet"/>
      <w:lvlText w:val="▪"/>
      <w:lvlJc w:val="left"/>
      <w:pPr>
        <w:ind w:left="6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3E3708"/>
    <w:multiLevelType w:val="hybridMultilevel"/>
    <w:tmpl w:val="D7461F98"/>
    <w:lvl w:ilvl="0" w:tplc="55A2BA7C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72A674">
      <w:start w:val="1"/>
      <w:numFmt w:val="bullet"/>
      <w:lvlText w:val="o"/>
      <w:lvlJc w:val="left"/>
      <w:pPr>
        <w:ind w:left="1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8DC9C">
      <w:start w:val="1"/>
      <w:numFmt w:val="bullet"/>
      <w:lvlText w:val="▪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0FB7E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E149E">
      <w:start w:val="1"/>
      <w:numFmt w:val="bullet"/>
      <w:lvlText w:val="o"/>
      <w:lvlJc w:val="left"/>
      <w:pPr>
        <w:ind w:left="3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64940">
      <w:start w:val="1"/>
      <w:numFmt w:val="bullet"/>
      <w:lvlText w:val="▪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7E4C86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803AE">
      <w:start w:val="1"/>
      <w:numFmt w:val="bullet"/>
      <w:lvlText w:val="o"/>
      <w:lvlJc w:val="left"/>
      <w:pPr>
        <w:ind w:left="5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57A4">
      <w:start w:val="1"/>
      <w:numFmt w:val="bullet"/>
      <w:lvlText w:val="▪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C06EDC"/>
    <w:multiLevelType w:val="hybridMultilevel"/>
    <w:tmpl w:val="9D08A230"/>
    <w:lvl w:ilvl="0" w:tplc="7BD64A54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08910">
      <w:start w:val="1"/>
      <w:numFmt w:val="lowerLetter"/>
      <w:lvlText w:val="%2)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66B0CC">
      <w:start w:val="1"/>
      <w:numFmt w:val="bullet"/>
      <w:lvlText w:val="o"/>
      <w:lvlJc w:val="left"/>
      <w:pPr>
        <w:ind w:left="1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E8B14">
      <w:start w:val="1"/>
      <w:numFmt w:val="bullet"/>
      <w:lvlText w:val="•"/>
      <w:lvlJc w:val="left"/>
      <w:pPr>
        <w:ind w:left="2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3CB4F8">
      <w:start w:val="1"/>
      <w:numFmt w:val="bullet"/>
      <w:lvlText w:val="o"/>
      <w:lvlJc w:val="left"/>
      <w:pPr>
        <w:ind w:left="2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8B1A2">
      <w:start w:val="1"/>
      <w:numFmt w:val="bullet"/>
      <w:lvlText w:val="▪"/>
      <w:lvlJc w:val="left"/>
      <w:pPr>
        <w:ind w:left="3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574">
      <w:start w:val="1"/>
      <w:numFmt w:val="bullet"/>
      <w:lvlText w:val="•"/>
      <w:lvlJc w:val="left"/>
      <w:pPr>
        <w:ind w:left="4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4BB5C">
      <w:start w:val="1"/>
      <w:numFmt w:val="bullet"/>
      <w:lvlText w:val="o"/>
      <w:lvlJc w:val="left"/>
      <w:pPr>
        <w:ind w:left="50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E49EC">
      <w:start w:val="1"/>
      <w:numFmt w:val="bullet"/>
      <w:lvlText w:val="▪"/>
      <w:lvlJc w:val="left"/>
      <w:pPr>
        <w:ind w:left="57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B30E67"/>
    <w:multiLevelType w:val="hybridMultilevel"/>
    <w:tmpl w:val="75D03A0C"/>
    <w:lvl w:ilvl="0" w:tplc="69AC7328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C82C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CFA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2ED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245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8A9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E36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CDC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451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6D156D"/>
    <w:multiLevelType w:val="hybridMultilevel"/>
    <w:tmpl w:val="3426EEA6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903055306">
    <w:abstractNumId w:val="2"/>
  </w:num>
  <w:num w:numId="2" w16cid:durableId="1832334086">
    <w:abstractNumId w:val="6"/>
  </w:num>
  <w:num w:numId="3" w16cid:durableId="1373918617">
    <w:abstractNumId w:val="7"/>
  </w:num>
  <w:num w:numId="4" w16cid:durableId="910236805">
    <w:abstractNumId w:val="5"/>
  </w:num>
  <w:num w:numId="5" w16cid:durableId="85811962">
    <w:abstractNumId w:val="0"/>
  </w:num>
  <w:num w:numId="6" w16cid:durableId="1851674831">
    <w:abstractNumId w:val="4"/>
  </w:num>
  <w:num w:numId="7" w16cid:durableId="562915339">
    <w:abstractNumId w:val="8"/>
  </w:num>
  <w:num w:numId="8" w16cid:durableId="1861816895">
    <w:abstractNumId w:val="3"/>
  </w:num>
  <w:num w:numId="9" w16cid:durableId="1769696886">
    <w:abstractNumId w:val="1"/>
  </w:num>
  <w:num w:numId="10" w16cid:durableId="7355170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98"/>
    <w:rsid w:val="000E7D15"/>
    <w:rsid w:val="001944A1"/>
    <w:rsid w:val="001B41DD"/>
    <w:rsid w:val="00210116"/>
    <w:rsid w:val="00220842"/>
    <w:rsid w:val="00246D52"/>
    <w:rsid w:val="00247527"/>
    <w:rsid w:val="0037129E"/>
    <w:rsid w:val="003B459F"/>
    <w:rsid w:val="0040708C"/>
    <w:rsid w:val="00433008"/>
    <w:rsid w:val="00484A77"/>
    <w:rsid w:val="004A59AC"/>
    <w:rsid w:val="004E3BFF"/>
    <w:rsid w:val="005A00C5"/>
    <w:rsid w:val="005B51F2"/>
    <w:rsid w:val="006429C6"/>
    <w:rsid w:val="00733BED"/>
    <w:rsid w:val="00740854"/>
    <w:rsid w:val="00831D89"/>
    <w:rsid w:val="00845EA4"/>
    <w:rsid w:val="008D6333"/>
    <w:rsid w:val="009608A6"/>
    <w:rsid w:val="00A1270B"/>
    <w:rsid w:val="00AB2987"/>
    <w:rsid w:val="00AD693E"/>
    <w:rsid w:val="00BC3F0F"/>
    <w:rsid w:val="00C67D74"/>
    <w:rsid w:val="00C80598"/>
    <w:rsid w:val="00C926AC"/>
    <w:rsid w:val="00CC0E70"/>
    <w:rsid w:val="00D37A7A"/>
    <w:rsid w:val="00D447A9"/>
    <w:rsid w:val="00E31903"/>
    <w:rsid w:val="00E64566"/>
    <w:rsid w:val="00EA2224"/>
    <w:rsid w:val="00ED0B82"/>
    <w:rsid w:val="00F8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9122"/>
  <w15:docId w15:val="{CDF10657-AD1B-41FE-9DD5-4A1E57F8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4" w:line="268" w:lineRule="auto"/>
      <w:ind w:left="7" w:right="1" w:hanging="7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AFCA0A"/>
      <w:spacing w:after="110"/>
      <w:ind w:left="10" w:right="1" w:hanging="10"/>
      <w:outlineLvl w:val="0"/>
    </w:pPr>
    <w:rPr>
      <w:rFonts w:ascii="Arial" w:eastAsia="Arial" w:hAnsi="Arial" w:cs="Arial"/>
      <w:b/>
      <w:color w:va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FFFF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5B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B45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459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712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2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29E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29E"/>
    <w:rPr>
      <w:rFonts w:ascii="Arial" w:eastAsia="Arial" w:hAnsi="Arial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247527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247527"/>
    <w:pPr>
      <w:spacing w:after="0" w:line="240" w:lineRule="auto"/>
      <w:ind w:left="720" w:right="0" w:firstLine="0"/>
      <w:contextualSpacing/>
      <w:jc w:val="left"/>
    </w:pPr>
    <w:rPr>
      <w:rFonts w:ascii="Calibri" w:eastAsia="Times New Roman" w:hAnsi="Calibri" w:cs="Calibri"/>
      <w:color w:val="auto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D0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tni-poradenstvi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rie.novotna@tch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radenstv&#237;@tchk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2180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PoTr_Vyzva_2021_05.2021.docx</vt:lpstr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PoTr_Vyzva_2021_05.2021.docx</dc:title>
  <dc:subject/>
  <dc:creator>Marie Novotná</dc:creator>
  <cp:keywords/>
  <cp:lastModifiedBy>Ondřej Zezulák</cp:lastModifiedBy>
  <cp:revision>4</cp:revision>
  <dcterms:created xsi:type="dcterms:W3CDTF">2023-03-22T07:47:00Z</dcterms:created>
  <dcterms:modified xsi:type="dcterms:W3CDTF">2023-03-22T12:29:00Z</dcterms:modified>
</cp:coreProperties>
</file>